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C65" w:rsidRPr="00670C65" w:rsidRDefault="00670C65" w:rsidP="00670C65">
      <w:pPr>
        <w:shd w:val="clear" w:color="auto" w:fill="FFFFFF"/>
        <w:ind w:left="975" w:right="1500"/>
        <w:outlineLvl w:val="0"/>
        <w:rPr>
          <w:rFonts w:ascii="Tahoma" w:eastAsia="Times New Roman" w:hAnsi="Tahoma" w:cs="Tahoma"/>
          <w:color w:val="007DB8"/>
          <w:kern w:val="36"/>
          <w:sz w:val="48"/>
          <w:szCs w:val="48"/>
        </w:rPr>
      </w:pPr>
      <w:r w:rsidRPr="00670C65">
        <w:rPr>
          <w:rFonts w:ascii="Tahoma" w:eastAsia="Times New Roman" w:hAnsi="Tahoma" w:cs="Tahoma"/>
          <w:b/>
          <w:bCs/>
          <w:color w:val="7A7A7A"/>
          <w:kern w:val="36"/>
          <w:sz w:val="36"/>
          <w:szCs w:val="36"/>
        </w:rPr>
        <w:t>13-1</w:t>
      </w:r>
      <w:r w:rsidRPr="00670C65">
        <w:rPr>
          <w:rFonts w:ascii="Tahoma" w:eastAsia="Times New Roman" w:hAnsi="Tahoma" w:cs="Tahoma"/>
          <w:color w:val="007DB8"/>
          <w:kern w:val="36"/>
          <w:sz w:val="48"/>
          <w:szCs w:val="48"/>
        </w:rPr>
        <w:t>Inductive Reasoning: Making Judgments from Observations</w:t>
      </w:r>
    </w:p>
    <w:p w:rsidR="00670C65" w:rsidRPr="00670C65" w:rsidRDefault="00670C65" w:rsidP="00670C65">
      <w:pPr>
        <w:shd w:val="clear" w:color="auto" w:fill="FFFFFF"/>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We are constantly making judgments about things in our environment, including people, events, and behaviors. One of the primary mechanisms involved in making judgments is </w:t>
      </w:r>
      <w:hyperlink r:id="rId5" w:history="1">
        <w:r w:rsidRPr="00670C65">
          <w:rPr>
            <w:rFonts w:ascii="Cambria" w:eastAsia="Times New Roman" w:hAnsi="Cambria" w:cs="Times New Roman"/>
            <w:b/>
            <w:bCs/>
            <w:color w:val="0081BC"/>
            <w:sz w:val="27"/>
            <w:szCs w:val="27"/>
          </w:rPr>
          <w:t>inductive reasoning</w:t>
        </w:r>
      </w:hyperlink>
      <w:r w:rsidRPr="00670C65">
        <w:rPr>
          <w:rFonts w:ascii="Cambria" w:eastAsia="Times New Roman" w:hAnsi="Cambria" w:cs="Times New Roman"/>
          <w:color w:val="575757"/>
          <w:sz w:val="27"/>
          <w:szCs w:val="27"/>
        </w:rPr>
        <w:t>, which is the process of drawing general conclusions based on specific observations and evidence. One of the characteristics of inductive reasoning is that the conclusions we reach are </w:t>
      </w:r>
      <w:r w:rsidRPr="00670C65">
        <w:rPr>
          <w:rFonts w:ascii="Cambria" w:eastAsia="Times New Roman" w:hAnsi="Cambria" w:cs="Times New Roman"/>
          <w:i/>
          <w:iCs/>
          <w:color w:val="575757"/>
          <w:sz w:val="27"/>
          <w:szCs w:val="27"/>
        </w:rPr>
        <w:t>probably</w:t>
      </w:r>
      <w:r w:rsidRPr="00670C65">
        <w:rPr>
          <w:rFonts w:ascii="Cambria" w:eastAsia="Times New Roman" w:hAnsi="Cambria" w:cs="Times New Roman"/>
          <w:color w:val="575757"/>
          <w:sz w:val="27"/>
          <w:szCs w:val="27"/>
        </w:rPr>
        <w:t>, but not </w:t>
      </w:r>
      <w:r w:rsidRPr="00670C65">
        <w:rPr>
          <w:rFonts w:ascii="Cambria" w:eastAsia="Times New Roman" w:hAnsi="Cambria" w:cs="Times New Roman"/>
          <w:i/>
          <w:iCs/>
          <w:color w:val="575757"/>
          <w:sz w:val="27"/>
          <w:szCs w:val="27"/>
        </w:rPr>
        <w:t>definitely</w:t>
      </w:r>
      <w:r w:rsidRPr="00670C65">
        <w:rPr>
          <w:rFonts w:ascii="Cambria" w:eastAsia="Times New Roman" w:hAnsi="Cambria" w:cs="Times New Roman"/>
          <w:color w:val="575757"/>
          <w:sz w:val="27"/>
          <w:szCs w:val="27"/>
        </w:rPr>
        <w:t xml:space="preserve">, true. For example, concluding that John cares about the environment based on the observation that he is wearing a Sierra </w:t>
      </w:r>
      <w:proofErr w:type="spellStart"/>
      <w:r w:rsidRPr="00670C65">
        <w:rPr>
          <w:rFonts w:ascii="Cambria" w:eastAsia="Times New Roman" w:hAnsi="Cambria" w:cs="Times New Roman"/>
          <w:color w:val="575757"/>
          <w:sz w:val="27"/>
          <w:szCs w:val="27"/>
        </w:rPr>
        <w:t>Club</w:t>
      </w:r>
      <w:bookmarkStart w:id="0" w:name="PageEnd_394"/>
      <w:bookmarkEnd w:id="0"/>
      <w:r w:rsidRPr="00670C65">
        <w:rPr>
          <w:rFonts w:ascii="Cambria" w:eastAsia="Times New Roman" w:hAnsi="Cambria" w:cs="Times New Roman"/>
          <w:color w:val="575757"/>
          <w:sz w:val="27"/>
          <w:szCs w:val="27"/>
        </w:rPr>
        <w:t>jacket</w:t>
      </w:r>
      <w:proofErr w:type="spellEnd"/>
      <w:r w:rsidRPr="00670C65">
        <w:rPr>
          <w:rFonts w:ascii="Cambria" w:eastAsia="Times New Roman" w:hAnsi="Cambria" w:cs="Times New Roman"/>
          <w:color w:val="575757"/>
          <w:sz w:val="27"/>
          <w:szCs w:val="27"/>
        </w:rPr>
        <w:t xml:space="preserve"> makes sense. But it is also possible that he bought the jacket because he liked its style or color, or that he borrowed it from his brother. Thus, the conclusions we reach from inductive reasoning are suggested with various degrees of certainty but do not definitely follow from the observations. This is illustrated by the following two inductive arguments.</w:t>
      </w:r>
    </w:p>
    <w:tbl>
      <w:tblPr>
        <w:tblW w:w="10605" w:type="dxa"/>
        <w:tblCellMar>
          <w:left w:w="225" w:type="dxa"/>
          <w:right w:w="225" w:type="dxa"/>
        </w:tblCellMar>
        <w:tblLook w:val="04A0" w:firstRow="1" w:lastRow="0" w:firstColumn="1" w:lastColumn="0" w:noHBand="0" w:noVBand="1"/>
      </w:tblPr>
      <w:tblGrid>
        <w:gridCol w:w="1157"/>
        <w:gridCol w:w="9448"/>
      </w:tblGrid>
      <w:tr w:rsidR="00670C65" w:rsidRP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jc w:val="center"/>
              <w:rPr>
                <w:rFonts w:ascii="Tahoma" w:eastAsia="Times New Roman" w:hAnsi="Tahoma" w:cs="Tahoma"/>
                <w:color w:val="575757"/>
                <w:sz w:val="20"/>
                <w:szCs w:val="20"/>
              </w:rPr>
            </w:pPr>
            <w:r w:rsidRPr="00670C65">
              <w:rPr>
                <w:rFonts w:ascii="Tahoma" w:eastAsia="Times New Roman" w:hAnsi="Tahoma" w:cs="Tahoma"/>
                <w:i/>
                <w:iCs/>
                <w:color w:val="575757"/>
                <w:sz w:val="20"/>
                <w:szCs w:val="20"/>
              </w:rPr>
              <w:t>Observation</w:t>
            </w:r>
            <w:r w:rsidRPr="00670C65">
              <w:rPr>
                <w:rFonts w:ascii="Tahoma" w:eastAsia="Times New Roman"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rPr>
                <w:rFonts w:ascii="Tahoma" w:eastAsia="Times New Roman" w:hAnsi="Tahoma" w:cs="Tahoma"/>
                <w:color w:val="575757"/>
                <w:sz w:val="20"/>
                <w:szCs w:val="20"/>
              </w:rPr>
            </w:pPr>
            <w:r w:rsidRPr="00670C65">
              <w:rPr>
                <w:rFonts w:ascii="Tahoma" w:eastAsia="Times New Roman" w:hAnsi="Tahoma" w:cs="Tahoma"/>
                <w:color w:val="575757"/>
                <w:sz w:val="20"/>
                <w:szCs w:val="20"/>
              </w:rPr>
              <w:t>All the crows I’ve seen in Pittsburgh are totally black. When I visited my brother in Washington, DC, the crows I saw there were black too.</w:t>
            </w:r>
          </w:p>
        </w:tc>
      </w:tr>
      <w:tr w:rsidR="00670C65" w:rsidRP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jc w:val="center"/>
              <w:rPr>
                <w:rFonts w:ascii="Tahoma" w:eastAsia="Times New Roman" w:hAnsi="Tahoma" w:cs="Tahoma"/>
                <w:color w:val="575757"/>
                <w:sz w:val="20"/>
                <w:szCs w:val="20"/>
              </w:rPr>
            </w:pPr>
            <w:r w:rsidRPr="00670C65">
              <w:rPr>
                <w:rFonts w:ascii="Tahoma" w:eastAsia="Times New Roman" w:hAnsi="Tahoma" w:cs="Tahoma"/>
                <w:i/>
                <w:iCs/>
                <w:color w:val="575757"/>
                <w:sz w:val="20"/>
                <w:szCs w:val="20"/>
              </w:rPr>
              <w:t>Conclusion</w:t>
            </w:r>
            <w:r w:rsidRPr="00670C65">
              <w:rPr>
                <w:rFonts w:ascii="Tahoma" w:eastAsia="Times New Roman"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rPr>
                <w:rFonts w:ascii="Tahoma" w:eastAsia="Times New Roman" w:hAnsi="Tahoma" w:cs="Tahoma"/>
                <w:color w:val="575757"/>
                <w:sz w:val="20"/>
                <w:szCs w:val="20"/>
              </w:rPr>
            </w:pPr>
            <w:r w:rsidRPr="00670C65">
              <w:rPr>
                <w:rFonts w:ascii="Tahoma" w:eastAsia="Times New Roman" w:hAnsi="Tahoma" w:cs="Tahoma"/>
                <w:color w:val="575757"/>
                <w:sz w:val="20"/>
                <w:szCs w:val="20"/>
              </w:rPr>
              <w:t>All crows are black.</w:t>
            </w:r>
          </w:p>
        </w:tc>
      </w:tr>
      <w:tr w:rsidR="00670C65" w:rsidRP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jc w:val="center"/>
              <w:rPr>
                <w:rFonts w:ascii="Tahoma" w:eastAsia="Times New Roman" w:hAnsi="Tahoma" w:cs="Tahoma"/>
                <w:color w:val="575757"/>
                <w:sz w:val="20"/>
                <w:szCs w:val="20"/>
              </w:rPr>
            </w:pPr>
            <w:r w:rsidRPr="00670C65">
              <w:rPr>
                <w:rFonts w:ascii="Tahoma" w:eastAsia="Times New Roman" w:hAnsi="Tahoma" w:cs="Tahoma"/>
                <w:i/>
                <w:iCs/>
                <w:color w:val="575757"/>
                <w:sz w:val="20"/>
                <w:szCs w:val="20"/>
              </w:rPr>
              <w:t>Observation</w:t>
            </w:r>
            <w:r w:rsidRPr="00670C65">
              <w:rPr>
                <w:rFonts w:ascii="Tahoma" w:eastAsia="Times New Roman"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rPr>
                <w:rFonts w:ascii="Tahoma" w:eastAsia="Times New Roman" w:hAnsi="Tahoma" w:cs="Tahoma"/>
                <w:color w:val="575757"/>
                <w:sz w:val="20"/>
                <w:szCs w:val="20"/>
              </w:rPr>
            </w:pPr>
            <w:r w:rsidRPr="00670C65">
              <w:rPr>
                <w:rFonts w:ascii="Tahoma" w:eastAsia="Times New Roman" w:hAnsi="Tahoma" w:cs="Tahoma"/>
                <w:color w:val="575757"/>
                <w:sz w:val="20"/>
                <w:szCs w:val="20"/>
              </w:rPr>
              <w:t>Ever since I can remember, the sun has risen every morning here in Tucson.</w:t>
            </w:r>
          </w:p>
        </w:tc>
      </w:tr>
      <w:tr w:rsidR="00670C65" w:rsidRP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jc w:val="center"/>
              <w:rPr>
                <w:rFonts w:ascii="Tahoma" w:eastAsia="Times New Roman" w:hAnsi="Tahoma" w:cs="Tahoma"/>
                <w:color w:val="575757"/>
                <w:sz w:val="20"/>
                <w:szCs w:val="20"/>
              </w:rPr>
            </w:pPr>
            <w:r w:rsidRPr="00670C65">
              <w:rPr>
                <w:rFonts w:ascii="Tahoma" w:eastAsia="Times New Roman" w:hAnsi="Tahoma" w:cs="Tahoma"/>
                <w:i/>
                <w:iCs/>
                <w:color w:val="575757"/>
                <w:sz w:val="20"/>
                <w:szCs w:val="20"/>
              </w:rPr>
              <w:t>Conclusion</w:t>
            </w:r>
            <w:r w:rsidRPr="00670C65">
              <w:rPr>
                <w:rFonts w:ascii="Tahoma" w:eastAsia="Times New Roman" w:hAnsi="Tahoma" w:cs="Tahoma"/>
                <w:color w:val="575757"/>
                <w:sz w:val="20"/>
                <w:szCs w:val="20"/>
              </w:rPr>
              <w: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Pr="00670C65" w:rsidRDefault="00670C65" w:rsidP="00670C65">
            <w:pPr>
              <w:rPr>
                <w:rFonts w:ascii="Tahoma" w:eastAsia="Times New Roman" w:hAnsi="Tahoma" w:cs="Tahoma"/>
                <w:color w:val="575757"/>
                <w:sz w:val="20"/>
                <w:szCs w:val="20"/>
              </w:rPr>
            </w:pPr>
            <w:r w:rsidRPr="00670C65">
              <w:rPr>
                <w:rFonts w:ascii="Tahoma" w:eastAsia="Times New Roman" w:hAnsi="Tahoma" w:cs="Tahoma"/>
                <w:color w:val="575757"/>
                <w:sz w:val="20"/>
                <w:szCs w:val="20"/>
              </w:rPr>
              <w:t>The sun is going to rise in Tucson tomorrow.</w:t>
            </w:r>
          </w:p>
        </w:tc>
      </w:tr>
    </w:tbl>
    <w:p w:rsidR="00670C65" w:rsidRPr="00670C65" w:rsidRDefault="00670C65" w:rsidP="00670C65">
      <w:pPr>
        <w:shd w:val="clear" w:color="auto" w:fill="FFFFFF"/>
        <w:spacing w:after="225"/>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Notice there is a certain logic to each argument, but the second argument is more convincing than the first. Remember that inductive arguments lead to what is </w:t>
      </w:r>
      <w:proofErr w:type="spellStart"/>
      <w:r w:rsidRPr="00670C65">
        <w:rPr>
          <w:rFonts w:ascii="Cambria" w:eastAsia="Times New Roman" w:hAnsi="Cambria" w:cs="Times New Roman"/>
          <w:i/>
          <w:iCs/>
          <w:color w:val="575757"/>
          <w:sz w:val="27"/>
          <w:szCs w:val="27"/>
        </w:rPr>
        <w:t>probably</w:t>
      </w:r>
      <w:r w:rsidRPr="00670C65">
        <w:rPr>
          <w:rFonts w:ascii="Cambria" w:eastAsia="Times New Roman" w:hAnsi="Cambria" w:cs="Times New Roman"/>
          <w:color w:val="575757"/>
          <w:sz w:val="27"/>
          <w:szCs w:val="27"/>
        </w:rPr>
        <w:t>true</w:t>
      </w:r>
      <w:proofErr w:type="spellEnd"/>
      <w:r w:rsidRPr="00670C65">
        <w:rPr>
          <w:rFonts w:ascii="Cambria" w:eastAsia="Times New Roman" w:hAnsi="Cambria" w:cs="Times New Roman"/>
          <w:color w:val="575757"/>
          <w:sz w:val="27"/>
          <w:szCs w:val="27"/>
        </w:rPr>
        <w:t>, not what is </w:t>
      </w:r>
      <w:r w:rsidRPr="00670C65">
        <w:rPr>
          <w:rFonts w:ascii="Cambria" w:eastAsia="Times New Roman" w:hAnsi="Cambria" w:cs="Times New Roman"/>
          <w:i/>
          <w:iCs/>
          <w:color w:val="575757"/>
          <w:sz w:val="27"/>
          <w:szCs w:val="27"/>
        </w:rPr>
        <w:t>definitely</w:t>
      </w:r>
      <w:r w:rsidRPr="00670C65">
        <w:rPr>
          <w:rFonts w:ascii="Cambria" w:eastAsia="Times New Roman" w:hAnsi="Cambria" w:cs="Times New Roman"/>
          <w:color w:val="575757"/>
          <w:sz w:val="27"/>
          <w:szCs w:val="27"/>
        </w:rPr>
        <w:t> true. Strong inductive arguments result in conclusions that are more likely to be true, and weak arguments result in conclusions that are not as likely to be true. A number of factors can contribute to the strength of an inductive argument. Among them are the following:</w:t>
      </w:r>
    </w:p>
    <w:p w:rsidR="00670C65" w:rsidRPr="00670C65" w:rsidRDefault="00670C65" w:rsidP="00670C65">
      <w:pPr>
        <w:numPr>
          <w:ilvl w:val="0"/>
          <w:numId w:val="1"/>
        </w:numPr>
        <w:shd w:val="clear" w:color="auto" w:fill="FFFFFF"/>
        <w:ind w:left="975" w:right="975"/>
        <w:rPr>
          <w:rFonts w:ascii="Cambria" w:eastAsia="Times New Roman" w:hAnsi="Cambria" w:cs="Times New Roman"/>
          <w:color w:val="575757"/>
          <w:sz w:val="27"/>
          <w:szCs w:val="27"/>
        </w:rPr>
      </w:pPr>
      <w:r w:rsidRPr="00670C65">
        <w:rPr>
          <w:rFonts w:ascii="Cambria" w:eastAsia="Times New Roman" w:hAnsi="Cambria" w:cs="Times New Roman"/>
          <w:i/>
          <w:iCs/>
          <w:color w:val="575757"/>
          <w:sz w:val="27"/>
          <w:szCs w:val="27"/>
        </w:rPr>
        <w:t>Representativeness of observations</w:t>
      </w:r>
      <w:r w:rsidRPr="00670C65">
        <w:rPr>
          <w:rFonts w:ascii="Cambria" w:eastAsia="Times New Roman" w:hAnsi="Cambria" w:cs="Times New Roman"/>
          <w:color w:val="575757"/>
          <w:sz w:val="27"/>
          <w:szCs w:val="27"/>
        </w:rPr>
        <w:t>. How well do the observations about a particular category represent all of the members of that category? Clearly, the crows example suffers from a lack of representativeness because it does not consider crows from other parts of the country or the world.</w:t>
      </w:r>
    </w:p>
    <w:p w:rsidR="00670C65" w:rsidRPr="00670C65" w:rsidRDefault="00670C65" w:rsidP="00670C65">
      <w:pPr>
        <w:numPr>
          <w:ilvl w:val="0"/>
          <w:numId w:val="1"/>
        </w:numPr>
        <w:shd w:val="clear" w:color="auto" w:fill="FFFFFF"/>
        <w:ind w:left="975" w:right="975"/>
        <w:rPr>
          <w:rFonts w:ascii="Cambria" w:eastAsia="Times New Roman" w:hAnsi="Cambria" w:cs="Times New Roman"/>
          <w:color w:val="575757"/>
          <w:sz w:val="27"/>
          <w:szCs w:val="27"/>
        </w:rPr>
      </w:pPr>
      <w:r w:rsidRPr="00670C65">
        <w:rPr>
          <w:rFonts w:ascii="Cambria" w:eastAsia="Times New Roman" w:hAnsi="Cambria" w:cs="Times New Roman"/>
          <w:i/>
          <w:iCs/>
          <w:color w:val="575757"/>
          <w:sz w:val="27"/>
          <w:szCs w:val="27"/>
        </w:rPr>
        <w:t>Number of observations</w:t>
      </w:r>
      <w:r w:rsidRPr="00670C65">
        <w:rPr>
          <w:rFonts w:ascii="Cambria" w:eastAsia="Times New Roman" w:hAnsi="Cambria" w:cs="Times New Roman"/>
          <w:color w:val="575757"/>
          <w:sz w:val="27"/>
          <w:szCs w:val="27"/>
        </w:rPr>
        <w:t xml:space="preserve">. The argument about the crows is made stronger by adding the Washington, DC, observations to the </w:t>
      </w:r>
      <w:r w:rsidRPr="00670C65">
        <w:rPr>
          <w:rFonts w:ascii="Cambria" w:eastAsia="Times New Roman" w:hAnsi="Cambria" w:cs="Times New Roman"/>
          <w:color w:val="575757"/>
          <w:sz w:val="27"/>
          <w:szCs w:val="27"/>
        </w:rPr>
        <w:lastRenderedPageBreak/>
        <w:t xml:space="preserve">Pittsburgh observations. However, further research reveals that the hooded crow, found in Europe, is gray with black wings and tail, and the home crow, from Asia, is gray and black. </w:t>
      </w:r>
      <w:proofErr w:type="gramStart"/>
      <w:r w:rsidRPr="00670C65">
        <w:rPr>
          <w:rFonts w:ascii="Cambria" w:eastAsia="Times New Roman" w:hAnsi="Cambria" w:cs="Times New Roman"/>
          <w:color w:val="575757"/>
          <w:sz w:val="27"/>
          <w:szCs w:val="27"/>
        </w:rPr>
        <w:t>So</w:t>
      </w:r>
      <w:proofErr w:type="gramEnd"/>
      <w:r w:rsidRPr="00670C65">
        <w:rPr>
          <w:rFonts w:ascii="Cambria" w:eastAsia="Times New Roman" w:hAnsi="Cambria" w:cs="Times New Roman"/>
          <w:color w:val="575757"/>
          <w:sz w:val="27"/>
          <w:szCs w:val="27"/>
        </w:rPr>
        <w:t xml:space="preserve"> it turns out that the conclusion “All crows are black” is not true. In contrast, the conclusion about the sun rising in Tucson is extremely strong because it is supported by a very large number of observations.</w:t>
      </w:r>
    </w:p>
    <w:p w:rsidR="00670C65" w:rsidRPr="00670C65" w:rsidRDefault="00670C65" w:rsidP="00670C65">
      <w:pPr>
        <w:numPr>
          <w:ilvl w:val="0"/>
          <w:numId w:val="1"/>
        </w:numPr>
        <w:shd w:val="clear" w:color="auto" w:fill="FFFFFF"/>
        <w:ind w:left="975" w:right="975"/>
        <w:rPr>
          <w:rFonts w:ascii="Cambria" w:eastAsia="Times New Roman" w:hAnsi="Cambria" w:cs="Times New Roman"/>
          <w:color w:val="575757"/>
          <w:sz w:val="27"/>
          <w:szCs w:val="27"/>
        </w:rPr>
      </w:pPr>
      <w:r w:rsidRPr="00670C65">
        <w:rPr>
          <w:rFonts w:ascii="Cambria" w:eastAsia="Times New Roman" w:hAnsi="Cambria" w:cs="Times New Roman"/>
          <w:i/>
          <w:iCs/>
          <w:color w:val="575757"/>
          <w:sz w:val="27"/>
          <w:szCs w:val="27"/>
        </w:rPr>
        <w:t>Quality of the evidence</w:t>
      </w:r>
      <w:r w:rsidRPr="00670C65">
        <w:rPr>
          <w:rFonts w:ascii="Cambria" w:eastAsia="Times New Roman" w:hAnsi="Cambria" w:cs="Times New Roman"/>
          <w:color w:val="575757"/>
          <w:sz w:val="27"/>
          <w:szCs w:val="27"/>
        </w:rPr>
        <w:t>. Stronger evidence results in stronger conclusions. For example, although the conclusion “The sun will rise in Tucson” is extremely strong because of the number of observations, it becomes even stronger when we consider scientific descriptions of how the earth rotates on its axis and revolves around the sun. Thus, adding the observation “Scientific measurements of the rotation of the earth indicate that every time the earth rotates the sun will appear to rise” strengthens the conclusion even further.</w:t>
      </w:r>
    </w:p>
    <w:p w:rsidR="00670C65" w:rsidRPr="00670C65" w:rsidRDefault="00670C65" w:rsidP="00670C65">
      <w:pPr>
        <w:shd w:val="clear" w:color="auto" w:fill="FFFFFF"/>
        <w:spacing w:after="225"/>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Although our examples of inductive reasoning have been “academic” in nature, we often use inductive reasoning in everyday life, usually without even realizing it. For example, Sarah observed in a course she took with Professor X that he asked a lot of multiple-choice questions on his exams. Based on this specific observation, Sarah makes the general conclusion that all of his exams probably have multiple-choice questions, which can help her know what to expect when she takes another of Professor X’s courses. In another example, Sam has bought merchandise from Internet company Y before and gotten good service, so he places more orders based on the prediction that he will continue to get good service. Anytime we make a prediction about what </w:t>
      </w:r>
      <w:r w:rsidRPr="00670C65">
        <w:rPr>
          <w:rFonts w:ascii="Cambria" w:eastAsia="Times New Roman" w:hAnsi="Cambria" w:cs="Times New Roman"/>
          <w:i/>
          <w:iCs/>
          <w:color w:val="575757"/>
          <w:sz w:val="27"/>
          <w:szCs w:val="27"/>
        </w:rPr>
        <w:t>will happen</w:t>
      </w:r>
      <w:r w:rsidRPr="00670C65">
        <w:rPr>
          <w:rFonts w:ascii="Cambria" w:eastAsia="Times New Roman" w:hAnsi="Cambria" w:cs="Times New Roman"/>
          <w:color w:val="575757"/>
          <w:sz w:val="27"/>
          <w:szCs w:val="27"/>
        </w:rPr>
        <w:t> based on our observations about what </w:t>
      </w:r>
      <w:r w:rsidRPr="00670C65">
        <w:rPr>
          <w:rFonts w:ascii="Cambria" w:eastAsia="Times New Roman" w:hAnsi="Cambria" w:cs="Times New Roman"/>
          <w:i/>
          <w:iCs/>
          <w:color w:val="575757"/>
          <w:sz w:val="27"/>
          <w:szCs w:val="27"/>
        </w:rPr>
        <w:t xml:space="preserve">has </w:t>
      </w:r>
      <w:proofErr w:type="spellStart"/>
      <w:r w:rsidRPr="00670C65">
        <w:rPr>
          <w:rFonts w:ascii="Cambria" w:eastAsia="Times New Roman" w:hAnsi="Cambria" w:cs="Times New Roman"/>
          <w:i/>
          <w:iCs/>
          <w:color w:val="575757"/>
          <w:sz w:val="27"/>
          <w:szCs w:val="27"/>
        </w:rPr>
        <w:t>happened</w:t>
      </w:r>
      <w:r w:rsidRPr="00670C65">
        <w:rPr>
          <w:rFonts w:ascii="Cambria" w:eastAsia="Times New Roman" w:hAnsi="Cambria" w:cs="Times New Roman"/>
          <w:color w:val="575757"/>
          <w:sz w:val="27"/>
          <w:szCs w:val="27"/>
        </w:rPr>
        <w:t>in</w:t>
      </w:r>
      <w:proofErr w:type="spellEnd"/>
      <w:r w:rsidRPr="00670C65">
        <w:rPr>
          <w:rFonts w:ascii="Cambria" w:eastAsia="Times New Roman" w:hAnsi="Cambria" w:cs="Times New Roman"/>
          <w:color w:val="575757"/>
          <w:sz w:val="27"/>
          <w:szCs w:val="27"/>
        </w:rPr>
        <w:t xml:space="preserve"> the past, we are using inductive reasoning.</w:t>
      </w:r>
    </w:p>
    <w:p w:rsidR="00670C65" w:rsidRPr="00670C65" w:rsidRDefault="00670C65" w:rsidP="00670C65">
      <w:pPr>
        <w:shd w:val="clear" w:color="auto" w:fill="FFFFFF"/>
        <w:spacing w:after="225"/>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 xml:space="preserve">It makes sense that we make predictions and choices based on past experiences, especially when those experiences are highly familiar and frequent, such as studying for an exam or buying merchandise over the Internet. We make so many assumptions about the world based on past experience that we are using inductive reasoning constantly, often without realizing it. For example, did you run a stress test on the chair you are sitting in to be sure it wouldn’t collapse when you sat down? Probably not. You assumed, based on your </w:t>
      </w:r>
      <w:proofErr w:type="spellStart"/>
      <w:r w:rsidRPr="00670C65">
        <w:rPr>
          <w:rFonts w:ascii="Cambria" w:eastAsia="Times New Roman" w:hAnsi="Cambria" w:cs="Times New Roman"/>
          <w:color w:val="575757"/>
          <w:sz w:val="27"/>
          <w:szCs w:val="27"/>
        </w:rPr>
        <w:t>past</w:t>
      </w:r>
      <w:bookmarkStart w:id="1" w:name="PageEnd_395"/>
      <w:bookmarkEnd w:id="1"/>
      <w:r w:rsidRPr="00670C65">
        <w:rPr>
          <w:rFonts w:ascii="Cambria" w:eastAsia="Times New Roman" w:hAnsi="Cambria" w:cs="Times New Roman"/>
          <w:color w:val="575757"/>
          <w:sz w:val="27"/>
          <w:szCs w:val="27"/>
        </w:rPr>
        <w:t>experience</w:t>
      </w:r>
      <w:proofErr w:type="spellEnd"/>
      <w:r w:rsidRPr="00670C65">
        <w:rPr>
          <w:rFonts w:ascii="Cambria" w:eastAsia="Times New Roman" w:hAnsi="Cambria" w:cs="Times New Roman"/>
          <w:color w:val="575757"/>
          <w:sz w:val="27"/>
          <w:szCs w:val="27"/>
        </w:rPr>
        <w:t xml:space="preserve"> with chairs, </w:t>
      </w:r>
      <w:r w:rsidRPr="00670C65">
        <w:rPr>
          <w:rFonts w:ascii="Cambria" w:eastAsia="Times New Roman" w:hAnsi="Cambria" w:cs="Times New Roman"/>
          <w:color w:val="575757"/>
          <w:sz w:val="27"/>
          <w:szCs w:val="27"/>
        </w:rPr>
        <w:lastRenderedPageBreak/>
        <w:t>that it would not collapse. This kind of inductive reasoning is so automatic that you are not aware that any kind of “reasoning” is happening at all. Think about how time-consuming it would be if you had to approach every experience as if you were having it for the first time. Inductive reasoning provides the mechanism for using past experience to guide present behavior.</w:t>
      </w:r>
    </w:p>
    <w:p w:rsidR="00670C65" w:rsidRPr="00670C65" w:rsidRDefault="00670C65" w:rsidP="00670C65">
      <w:pPr>
        <w:shd w:val="clear" w:color="auto" w:fill="FFFFFF"/>
        <w:spacing w:after="225"/>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The above chair example shows that when we use past experience to guide present behavior, we often use shortcuts to help us reach conclusions rapidly. After all, we don’t have the time or energy to stop and gather every bit of information that we need to be 100 percent certain that every conclusion we reach is correct. These shortcuts take the form of heuristics</w:t>
      </w:r>
      <w:proofErr w:type="gramStart"/>
      <w:r w:rsidRPr="00670C65">
        <w:rPr>
          <w:rFonts w:ascii="Cambria" w:eastAsia="Times New Roman" w:hAnsi="Cambria" w:cs="Times New Roman"/>
          <w:color w:val="575757"/>
          <w:sz w:val="27"/>
          <w:szCs w:val="27"/>
        </w:rPr>
        <w:t>—“</w:t>
      </w:r>
      <w:proofErr w:type="gramEnd"/>
      <w:r w:rsidRPr="00670C65">
        <w:rPr>
          <w:rFonts w:ascii="Cambria" w:eastAsia="Times New Roman" w:hAnsi="Cambria" w:cs="Times New Roman"/>
          <w:color w:val="575757"/>
          <w:sz w:val="27"/>
          <w:szCs w:val="27"/>
        </w:rPr>
        <w:t>rules of thumb” that are likely to provide the correct answer to a problem but are not foolproof. For example, in the Marc Gasol situation described at the beginning of this chapter, the recruiters relied on a heuristic to help them choose basketball players, but this didn’t work out as planned.</w:t>
      </w:r>
    </w:p>
    <w:p w:rsidR="00670C65" w:rsidRPr="00670C65" w:rsidRDefault="00670C65" w:rsidP="00670C65">
      <w:pPr>
        <w:shd w:val="clear" w:color="auto" w:fill="FFFFFF"/>
        <w:ind w:left="975" w:right="975"/>
        <w:rPr>
          <w:rFonts w:ascii="Cambria" w:eastAsia="Times New Roman" w:hAnsi="Cambria" w:cs="Times New Roman"/>
          <w:color w:val="575757"/>
          <w:sz w:val="27"/>
          <w:szCs w:val="27"/>
        </w:rPr>
      </w:pPr>
      <w:r w:rsidRPr="00670C65">
        <w:rPr>
          <w:rFonts w:ascii="Cambria" w:eastAsia="Times New Roman" w:hAnsi="Cambria" w:cs="Times New Roman"/>
          <w:color w:val="575757"/>
          <w:sz w:val="27"/>
          <w:szCs w:val="27"/>
        </w:rPr>
        <w:t>We have been discussing in this section how inductive reasoning goes from </w:t>
      </w:r>
      <w:r w:rsidRPr="00670C65">
        <w:rPr>
          <w:rFonts w:ascii="Cambria" w:eastAsia="Times New Roman" w:hAnsi="Cambria" w:cs="Times New Roman"/>
          <w:i/>
          <w:iCs/>
          <w:color w:val="575757"/>
          <w:sz w:val="27"/>
          <w:szCs w:val="27"/>
        </w:rPr>
        <w:t>specific observations</w:t>
      </w:r>
      <w:r w:rsidRPr="00670C65">
        <w:rPr>
          <w:rFonts w:ascii="Cambria" w:eastAsia="Times New Roman" w:hAnsi="Cambria" w:cs="Times New Roman"/>
          <w:color w:val="575757"/>
          <w:sz w:val="27"/>
          <w:szCs w:val="27"/>
        </w:rPr>
        <w:t> to </w:t>
      </w:r>
      <w:r w:rsidRPr="00670C65">
        <w:rPr>
          <w:rFonts w:ascii="Cambria" w:eastAsia="Times New Roman" w:hAnsi="Cambria" w:cs="Times New Roman"/>
          <w:i/>
          <w:iCs/>
          <w:color w:val="575757"/>
          <w:sz w:val="27"/>
          <w:szCs w:val="27"/>
        </w:rPr>
        <w:t>general conclusions</w:t>
      </w:r>
      <w:r w:rsidRPr="00670C65">
        <w:rPr>
          <w:rFonts w:ascii="Cambria" w:eastAsia="Times New Roman" w:hAnsi="Cambria" w:cs="Times New Roman"/>
          <w:color w:val="575757"/>
          <w:sz w:val="27"/>
          <w:szCs w:val="27"/>
        </w:rPr>
        <w:t>; heuristics provide us with shortcuts to help us generalize from specific experiences to broader judgments and conclusions. People use a number of heuristics in reasoning that often lead to the correct conclusion but importantly, sometimes do not. We will now describe two of these heuristics: the </w:t>
      </w:r>
      <w:r w:rsidRPr="00670C65">
        <w:rPr>
          <w:rFonts w:ascii="Cambria" w:eastAsia="Times New Roman" w:hAnsi="Cambria" w:cs="Times New Roman"/>
          <w:i/>
          <w:iCs/>
          <w:color w:val="575757"/>
          <w:sz w:val="27"/>
          <w:szCs w:val="27"/>
        </w:rPr>
        <w:t>availability heuristic</w:t>
      </w:r>
      <w:r w:rsidRPr="00670C65">
        <w:rPr>
          <w:rFonts w:ascii="Cambria" w:eastAsia="Times New Roman" w:hAnsi="Cambria" w:cs="Times New Roman"/>
          <w:color w:val="575757"/>
          <w:sz w:val="27"/>
          <w:szCs w:val="27"/>
        </w:rPr>
        <w:t> and the </w:t>
      </w:r>
      <w:r w:rsidRPr="00670C65">
        <w:rPr>
          <w:rFonts w:ascii="Cambria" w:eastAsia="Times New Roman" w:hAnsi="Cambria" w:cs="Times New Roman"/>
          <w:i/>
          <w:iCs/>
          <w:color w:val="575757"/>
          <w:sz w:val="27"/>
          <w:szCs w:val="27"/>
        </w:rPr>
        <w:t>representativeness heuristic</w:t>
      </w:r>
      <w:r w:rsidRPr="00670C65">
        <w:rPr>
          <w:rFonts w:ascii="Cambria" w:eastAsia="Times New Roman" w:hAnsi="Cambria" w:cs="Times New Roman"/>
          <w:color w:val="575757"/>
          <w:sz w:val="27"/>
          <w:szCs w:val="27"/>
        </w:rPr>
        <w:t>.</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13-1a</w:t>
      </w:r>
      <w:r>
        <w:rPr>
          <w:rStyle w:val="headingtext"/>
          <w:rFonts w:ascii="Tahoma" w:hAnsi="Tahoma" w:cs="Tahoma"/>
          <w:color w:val="DF7300"/>
          <w:sz w:val="41"/>
          <w:szCs w:val="41"/>
        </w:rPr>
        <w:t>The Availability Heuristic</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following demonstration introduces the availability heuristic.</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Which Is More Prevalent?</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Answer the following questions:</w:t>
      </w:r>
    </w:p>
    <w:p w:rsidR="00670C65" w:rsidRDefault="00670C65" w:rsidP="00670C65">
      <w:pPr>
        <w:pStyle w:val="NormalWeb"/>
        <w:numPr>
          <w:ilvl w:val="0"/>
          <w:numId w:val="2"/>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Which are more prevalent in English, words that begin with the letter </w:t>
      </w:r>
      <w:r>
        <w:rPr>
          <w:rStyle w:val="Emphasis"/>
          <w:rFonts w:ascii="Cambria" w:eastAsiaTheme="majorEastAsia" w:hAnsi="Cambria"/>
          <w:color w:val="575757"/>
          <w:sz w:val="27"/>
          <w:szCs w:val="27"/>
        </w:rPr>
        <w:t>r</w:t>
      </w:r>
      <w:r>
        <w:rPr>
          <w:rFonts w:ascii="Cambria" w:hAnsi="Cambria"/>
          <w:color w:val="575757"/>
          <w:sz w:val="27"/>
          <w:szCs w:val="27"/>
        </w:rPr>
        <w:t> or words in which </w:t>
      </w:r>
      <w:r>
        <w:rPr>
          <w:rStyle w:val="Emphasis"/>
          <w:rFonts w:ascii="Cambria" w:eastAsiaTheme="majorEastAsia" w:hAnsi="Cambria"/>
          <w:color w:val="575757"/>
          <w:sz w:val="27"/>
          <w:szCs w:val="27"/>
        </w:rPr>
        <w:t>r</w:t>
      </w:r>
      <w:r>
        <w:rPr>
          <w:rFonts w:ascii="Cambria" w:hAnsi="Cambria"/>
          <w:color w:val="575757"/>
          <w:sz w:val="27"/>
          <w:szCs w:val="27"/>
        </w:rPr>
        <w:t> is the third letter?</w:t>
      </w:r>
    </w:p>
    <w:p w:rsidR="00670C65" w:rsidRDefault="00670C65" w:rsidP="00670C65">
      <w:pPr>
        <w:pStyle w:val="NormalWeb"/>
        <w:numPr>
          <w:ilvl w:val="0"/>
          <w:numId w:val="2"/>
        </w:numPr>
        <w:shd w:val="clear" w:color="auto" w:fill="F9F9F9"/>
        <w:spacing w:before="0" w:beforeAutospacing="0" w:after="225" w:afterAutospacing="0"/>
        <w:ind w:left="0"/>
        <w:rPr>
          <w:rFonts w:ascii="Cambria" w:hAnsi="Cambria"/>
          <w:color w:val="575757"/>
          <w:sz w:val="27"/>
          <w:szCs w:val="27"/>
        </w:rPr>
      </w:pPr>
      <w:r>
        <w:rPr>
          <w:rFonts w:ascii="Cambria" w:hAnsi="Cambria"/>
          <w:color w:val="575757"/>
          <w:sz w:val="27"/>
          <w:szCs w:val="27"/>
        </w:rPr>
        <w:t>Some possible causes of death are listed below in pairs. Within each pair, which cause of death do you consider to be more likely for people in the United States? That is, if you randomly picked someone in the United States, would that person be more likely to die next year from cause A or cause B?</w:t>
      </w:r>
    </w:p>
    <w:tbl>
      <w:tblPr>
        <w:tblW w:w="7200" w:type="dxa"/>
        <w:tblCellMar>
          <w:left w:w="0" w:type="dxa"/>
          <w:right w:w="0" w:type="dxa"/>
        </w:tblCellMar>
        <w:tblLook w:val="04A0" w:firstRow="1" w:lastRow="0" w:firstColumn="1" w:lastColumn="0" w:noHBand="0" w:noVBand="1"/>
      </w:tblPr>
      <w:tblGrid>
        <w:gridCol w:w="4400"/>
        <w:gridCol w:w="2800"/>
      </w:tblGrid>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eastAsiaTheme="majorEastAsia" w:hAnsi="Tahoma" w:cs="Tahoma"/>
                <w:color w:val="575757"/>
                <w:sz w:val="20"/>
                <w:szCs w:val="20"/>
              </w:rPr>
              <w:lastRenderedPageBreak/>
              <w:t>Cause A</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eastAsiaTheme="majorEastAsia" w:hAnsi="Tahoma" w:cs="Tahoma"/>
                <w:color w:val="575757"/>
                <w:sz w:val="20"/>
                <w:szCs w:val="20"/>
              </w:rPr>
              <w:t>Cause B</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Homicide</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Appendicitis</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Auto–train collision</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Drowning</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Botulism</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Asthma</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Asthma</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Tornado</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Appendicitis</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Pregnancy</w:t>
            </w:r>
          </w:p>
        </w:tc>
      </w:tr>
    </w:tbl>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Our behaviors and judgments are often guided by what we remember from the past. The </w:t>
      </w:r>
      <w:hyperlink r:id="rId6" w:history="1">
        <w:r>
          <w:rPr>
            <w:rStyle w:val="primaryterm"/>
            <w:rFonts w:ascii="Cambria" w:hAnsi="Cambria"/>
            <w:b/>
            <w:bCs/>
            <w:color w:val="0081BC"/>
            <w:sz w:val="27"/>
            <w:szCs w:val="27"/>
          </w:rPr>
          <w:t>availability heuristic</w:t>
        </w:r>
      </w:hyperlink>
      <w:r>
        <w:rPr>
          <w:rFonts w:ascii="Cambria" w:hAnsi="Cambria"/>
          <w:color w:val="575757"/>
          <w:sz w:val="27"/>
          <w:szCs w:val="27"/>
        </w:rPr>
        <w:t> states that events that more easily come to mind are judged as being more probable than events that are less easily recalled (</w:t>
      </w:r>
      <w:r>
        <w:rPr>
          <w:rStyle w:val="citation"/>
          <w:rFonts w:ascii="Cambria" w:hAnsi="Cambria"/>
          <w:color w:val="575757"/>
          <w:sz w:val="27"/>
          <w:szCs w:val="27"/>
        </w:rPr>
        <w:t>Tversky &amp; Kahneman, 1973</w:t>
      </w:r>
      <w:r>
        <w:rPr>
          <w:rFonts w:ascii="Cambria" w:hAnsi="Cambria"/>
          <w:color w:val="575757"/>
          <w:sz w:val="27"/>
          <w:szCs w:val="27"/>
        </w:rPr>
        <w:t>). Consider, for example, the problems posed in the demonstration. When participants were asked to judge whether there are more words with </w:t>
      </w:r>
      <w:r>
        <w:rPr>
          <w:rStyle w:val="Emphasis"/>
          <w:rFonts w:ascii="Cambria" w:eastAsiaTheme="majorEastAsia" w:hAnsi="Cambria"/>
          <w:color w:val="575757"/>
          <w:sz w:val="27"/>
          <w:szCs w:val="27"/>
        </w:rPr>
        <w:t>r</w:t>
      </w:r>
      <w:r>
        <w:rPr>
          <w:rFonts w:ascii="Cambria" w:hAnsi="Cambria"/>
          <w:color w:val="575757"/>
          <w:sz w:val="27"/>
          <w:szCs w:val="27"/>
        </w:rPr>
        <w:t> in the first position or the third, 70 percent responded that more words begin with </w:t>
      </w:r>
      <w:r>
        <w:rPr>
          <w:rStyle w:val="Emphasis"/>
          <w:rFonts w:ascii="Cambria" w:eastAsiaTheme="majorEastAsia" w:hAnsi="Cambria"/>
          <w:color w:val="575757"/>
          <w:sz w:val="27"/>
          <w:szCs w:val="27"/>
        </w:rPr>
        <w:t>r</w:t>
      </w:r>
      <w:r>
        <w:rPr>
          <w:rFonts w:ascii="Cambria" w:hAnsi="Cambria"/>
          <w:color w:val="575757"/>
          <w:sz w:val="27"/>
          <w:szCs w:val="27"/>
        </w:rPr>
        <w:t>, even though in reality three times more words have </w:t>
      </w:r>
      <w:r>
        <w:rPr>
          <w:rStyle w:val="Emphasis"/>
          <w:rFonts w:ascii="Cambria" w:eastAsiaTheme="majorEastAsia" w:hAnsi="Cambria"/>
          <w:color w:val="575757"/>
          <w:sz w:val="27"/>
          <w:szCs w:val="27"/>
        </w:rPr>
        <w:t>r</w:t>
      </w:r>
      <w:r>
        <w:rPr>
          <w:rFonts w:ascii="Cambria" w:hAnsi="Cambria"/>
          <w:color w:val="575757"/>
          <w:sz w:val="27"/>
          <w:szCs w:val="27"/>
        </w:rPr>
        <w:t> in the third position (</w:t>
      </w:r>
      <w:r>
        <w:rPr>
          <w:rStyle w:val="citation"/>
          <w:rFonts w:ascii="Cambria" w:hAnsi="Cambria"/>
          <w:color w:val="575757"/>
          <w:sz w:val="27"/>
          <w:szCs w:val="27"/>
        </w:rPr>
        <w:t>Tversky &amp; Kahneman, 1973</w:t>
      </w:r>
      <w:r>
        <w:rPr>
          <w:rFonts w:ascii="Cambria" w:hAnsi="Cambria"/>
          <w:color w:val="575757"/>
          <w:sz w:val="27"/>
          <w:szCs w:val="27"/>
        </w:rPr>
        <w:t xml:space="preserve">; but see also </w:t>
      </w:r>
      <w:proofErr w:type="spellStart"/>
      <w:r>
        <w:rPr>
          <w:rFonts w:ascii="Cambria" w:hAnsi="Cambria"/>
          <w:color w:val="575757"/>
          <w:sz w:val="27"/>
          <w:szCs w:val="27"/>
        </w:rPr>
        <w:t>Gigerenzer</w:t>
      </w:r>
      <w:proofErr w:type="spellEnd"/>
      <w:r>
        <w:rPr>
          <w:rFonts w:ascii="Cambria" w:hAnsi="Cambria"/>
          <w:color w:val="575757"/>
          <w:sz w:val="27"/>
          <w:szCs w:val="27"/>
        </w:rPr>
        <w:t xml:space="preserve"> &amp; </w:t>
      </w:r>
      <w:r>
        <w:rPr>
          <w:rStyle w:val="citation"/>
          <w:rFonts w:ascii="Cambria" w:hAnsi="Cambria"/>
          <w:color w:val="575757"/>
          <w:sz w:val="27"/>
          <w:szCs w:val="27"/>
        </w:rPr>
        <w:t>Todd, 1999</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hyperlink r:id="rId7" w:history="1">
        <w:r>
          <w:rPr>
            <w:rStyle w:val="Hyperlink"/>
            <w:rFonts w:ascii="Cambria" w:hAnsi="Cambria"/>
            <w:color w:val="007DB8"/>
            <w:sz w:val="27"/>
            <w:szCs w:val="27"/>
          </w:rPr>
          <w:t>Table 13.1</w:t>
        </w:r>
      </w:hyperlink>
      <w:r>
        <w:rPr>
          <w:rFonts w:ascii="Cambria" w:hAnsi="Cambria"/>
          <w:color w:val="575757"/>
          <w:sz w:val="27"/>
          <w:szCs w:val="27"/>
        </w:rPr>
        <w:t> shows the results of an experiment in which participants were asked to judge the relative prevalence of various causes of death (</w:t>
      </w:r>
      <w:r>
        <w:rPr>
          <w:rStyle w:val="citation"/>
          <w:rFonts w:ascii="Cambria" w:hAnsi="Cambria"/>
          <w:color w:val="575757"/>
          <w:sz w:val="27"/>
          <w:szCs w:val="27"/>
        </w:rPr>
        <w:t>Lichtenstein et al., 1978</w:t>
      </w:r>
      <w:r>
        <w:rPr>
          <w:rFonts w:ascii="Cambria" w:hAnsi="Cambria"/>
          <w:color w:val="575757"/>
          <w:sz w:val="27"/>
          <w:szCs w:val="27"/>
        </w:rPr>
        <w:t>). For</w:t>
      </w:r>
      <w:bookmarkStart w:id="2" w:name="PageEnd_396"/>
      <w:bookmarkEnd w:id="2"/>
      <w:r>
        <w:rPr>
          <w:rFonts w:ascii="Cambria" w:hAnsi="Cambria"/>
          <w:color w:val="575757"/>
          <w:sz w:val="27"/>
          <w:szCs w:val="27"/>
        </w:rPr>
        <w:t> each pair, the more likely cause of death is listed in the left column. The number in parentheses indicates the relative frequency of the more likely cause compared to the less likely cause. For example, 20 times more people die of homicide than die of appendicitis. The number on the right indicates the percentage of participants who picked the less likely alternative. For example, 9 percent of participants thought it was more likely that a person would die from appendicitis than from homicide. In this case, therefore, a large majority of people, 91 percent, correctly picked homicide as causing more deaths. However, for the other causes of death, a substantial proportion of participants misjudged their relative likelihood. In these cases, large numbers of errors were associated with causes that had been publicized by the media. For example, 58 percent thought that more deaths were caused by tornados than by asthma, when in reality, 20 times more people die from asthma than from tornados. Particularly striking is the finding that 41 percent of participants thought botulism caused more deaths than asthma, even though 920 times more people die of asthma.</w:t>
      </w:r>
    </w:p>
    <w:p w:rsidR="00670C65" w:rsidRDefault="00670C65" w:rsidP="00670C65">
      <w:pPr>
        <w:rPr>
          <w:rFonts w:ascii="Cambria" w:hAnsi="Cambria"/>
          <w:color w:val="575757"/>
          <w:sz w:val="27"/>
          <w:szCs w:val="27"/>
        </w:rPr>
      </w:pPr>
      <w:r>
        <w:rPr>
          <w:rStyle w:val="label"/>
          <w:rFonts w:ascii="Tahoma" w:hAnsi="Tahoma" w:cs="Tahoma"/>
          <w:color w:val="575757"/>
          <w:sz w:val="30"/>
          <w:szCs w:val="30"/>
          <w:shd w:val="clear" w:color="auto" w:fill="80B33D"/>
        </w:rPr>
        <w:lastRenderedPageBreak/>
        <w:t>Table </w:t>
      </w:r>
      <w:r>
        <w:rPr>
          <w:rStyle w:val="ordinal"/>
          <w:rFonts w:ascii="Tahoma" w:hAnsi="Tahoma" w:cs="Tahoma"/>
          <w:color w:val="575757"/>
          <w:sz w:val="30"/>
          <w:szCs w:val="30"/>
          <w:shd w:val="clear" w:color="auto" w:fill="80B33D"/>
        </w:rPr>
        <w:t>13.1</w:t>
      </w:r>
    </w:p>
    <w:p w:rsidR="00670C65" w:rsidRDefault="00670C65" w:rsidP="00670C65">
      <w:pPr>
        <w:pStyle w:val="Heading3"/>
        <w:spacing w:before="0"/>
        <w:ind w:left="375"/>
        <w:rPr>
          <w:rFonts w:ascii="Tahoma" w:hAnsi="Tahoma" w:cs="Tahoma"/>
          <w:color w:val="575757"/>
          <w:sz w:val="30"/>
          <w:szCs w:val="30"/>
        </w:rPr>
      </w:pPr>
      <w:r>
        <w:rPr>
          <w:rFonts w:ascii="Tahoma" w:hAnsi="Tahoma" w:cs="Tahoma"/>
          <w:color w:val="575757"/>
          <w:sz w:val="30"/>
          <w:szCs w:val="30"/>
        </w:rPr>
        <w:t>Causes of Death</w:t>
      </w:r>
    </w:p>
    <w:tbl>
      <w:tblPr>
        <w:tblW w:w="9000"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807"/>
        <w:gridCol w:w="2141"/>
        <w:gridCol w:w="5052"/>
      </w:tblGrid>
      <w:tr w:rsidR="00670C65" w:rsidTr="00670C65">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More Likely</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Less Likely</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Percent of Participants Picking Less Likely</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Homicide (20)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Appendicitis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  9</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Drowning (5)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Auto–train collision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34</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Asthma (920)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Botulism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41</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Asthma (20)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Tornado</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58</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Appendicitis (2)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Pregnancy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83</w:t>
            </w:r>
          </w:p>
        </w:tc>
      </w:tr>
    </w:tbl>
    <w:p w:rsidR="00670C65" w:rsidRDefault="00670C65" w:rsidP="00670C65">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1" name="Picture 1"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large Ta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670C65" w:rsidRDefault="00670C65" w:rsidP="00670C65">
      <w:pPr>
        <w:shd w:val="clear" w:color="auto" w:fill="FFFFFF"/>
        <w:rPr>
          <w:rFonts w:ascii="Cambria" w:hAnsi="Cambria"/>
          <w:color w:val="575757"/>
          <w:sz w:val="27"/>
          <w:szCs w:val="27"/>
        </w:rPr>
      </w:pPr>
      <w:r>
        <w:rPr>
          <w:rStyle w:val="mediacredit"/>
          <w:rFonts w:ascii="Tahoma" w:hAnsi="Tahoma" w:cs="Tahoma"/>
          <w:color w:val="575757"/>
          <w:sz w:val="22"/>
          <w:szCs w:val="22"/>
        </w:rPr>
        <w:t>Source: Adapted from </w:t>
      </w:r>
      <w:r>
        <w:rPr>
          <w:rStyle w:val="reference"/>
          <w:rFonts w:ascii="Tahoma" w:hAnsi="Tahoma" w:cs="Tahoma"/>
          <w:color w:val="575757"/>
          <w:sz w:val="22"/>
          <w:szCs w:val="22"/>
        </w:rPr>
        <w:t xml:space="preserve">S. Lichtenstein, P. </w:t>
      </w:r>
      <w:proofErr w:type="spellStart"/>
      <w:r>
        <w:rPr>
          <w:rStyle w:val="reference"/>
          <w:rFonts w:ascii="Tahoma" w:hAnsi="Tahoma" w:cs="Tahoma"/>
          <w:color w:val="575757"/>
          <w:sz w:val="22"/>
          <w:szCs w:val="22"/>
        </w:rPr>
        <w:t>Slovic</w:t>
      </w:r>
      <w:proofErr w:type="spellEnd"/>
      <w:r>
        <w:rPr>
          <w:rStyle w:val="reference"/>
          <w:rFonts w:ascii="Tahoma" w:hAnsi="Tahoma" w:cs="Tahoma"/>
          <w:color w:val="575757"/>
          <w:sz w:val="22"/>
          <w:szCs w:val="22"/>
        </w:rPr>
        <w:t xml:space="preserve">, B. </w:t>
      </w:r>
      <w:proofErr w:type="spellStart"/>
      <w:r>
        <w:rPr>
          <w:rStyle w:val="reference"/>
          <w:rFonts w:ascii="Tahoma" w:hAnsi="Tahoma" w:cs="Tahoma"/>
          <w:color w:val="575757"/>
          <w:sz w:val="22"/>
          <w:szCs w:val="22"/>
        </w:rPr>
        <w:t>Fischoff</w:t>
      </w:r>
      <w:proofErr w:type="spellEnd"/>
      <w:r>
        <w:rPr>
          <w:rStyle w:val="reference"/>
          <w:rFonts w:ascii="Tahoma" w:hAnsi="Tahoma" w:cs="Tahoma"/>
          <w:color w:val="575757"/>
          <w:sz w:val="22"/>
          <w:szCs w:val="22"/>
        </w:rPr>
        <w:t>, M. Layman, &amp; B. Combs, Judged frequency of lethal events, </w:t>
      </w:r>
      <w:r>
        <w:rPr>
          <w:rStyle w:val="Emphasis"/>
          <w:rFonts w:ascii="Tahoma" w:hAnsi="Tahoma" w:cs="Tahoma"/>
          <w:color w:val="575757"/>
          <w:sz w:val="22"/>
          <w:szCs w:val="22"/>
        </w:rPr>
        <w:t>Journal of Experimental Psychology: Human Learning and Memory, 4</w:t>
      </w:r>
      <w:r>
        <w:rPr>
          <w:rStyle w:val="reference"/>
          <w:rFonts w:ascii="Tahoma" w:hAnsi="Tahoma" w:cs="Tahoma"/>
          <w:color w:val="575757"/>
          <w:sz w:val="22"/>
          <w:szCs w:val="22"/>
        </w:rPr>
        <w:t>, 551–578 (1978).</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explanation for these misjudgments appears linked to availability. When you try to think of words that begin with </w:t>
      </w:r>
      <w:proofErr w:type="spellStart"/>
      <w:r>
        <w:rPr>
          <w:rStyle w:val="Emphasis"/>
          <w:rFonts w:ascii="Cambria" w:eastAsiaTheme="majorEastAsia" w:hAnsi="Cambria"/>
          <w:color w:val="575757"/>
          <w:sz w:val="27"/>
          <w:szCs w:val="27"/>
        </w:rPr>
        <w:t>r</w:t>
      </w:r>
      <w:r>
        <w:rPr>
          <w:rFonts w:ascii="Cambria" w:hAnsi="Cambria"/>
          <w:color w:val="575757"/>
          <w:sz w:val="27"/>
          <w:szCs w:val="27"/>
        </w:rPr>
        <w:t>or</w:t>
      </w:r>
      <w:proofErr w:type="spellEnd"/>
      <w:r>
        <w:rPr>
          <w:rFonts w:ascii="Cambria" w:hAnsi="Cambria"/>
          <w:color w:val="575757"/>
          <w:sz w:val="27"/>
          <w:szCs w:val="27"/>
        </w:rPr>
        <w:t xml:space="preserve"> that have </w:t>
      </w:r>
      <w:r>
        <w:rPr>
          <w:rStyle w:val="Emphasis"/>
          <w:rFonts w:ascii="Cambria" w:eastAsiaTheme="majorEastAsia" w:hAnsi="Cambria"/>
          <w:color w:val="575757"/>
          <w:sz w:val="27"/>
          <w:szCs w:val="27"/>
        </w:rPr>
        <w:t>r</w:t>
      </w:r>
      <w:r>
        <w:rPr>
          <w:rFonts w:ascii="Cambria" w:hAnsi="Cambria"/>
          <w:color w:val="575757"/>
          <w:sz w:val="27"/>
          <w:szCs w:val="27"/>
        </w:rPr>
        <w:t> in the third position, it is much easier to think of words that begin with </w:t>
      </w:r>
      <w:r>
        <w:rPr>
          <w:rStyle w:val="Emphasis"/>
          <w:rFonts w:ascii="Cambria" w:eastAsiaTheme="majorEastAsia" w:hAnsi="Cambria"/>
          <w:color w:val="575757"/>
          <w:sz w:val="27"/>
          <w:szCs w:val="27"/>
        </w:rPr>
        <w:t>r</w:t>
      </w:r>
      <w:r>
        <w:rPr>
          <w:rFonts w:ascii="Cambria" w:hAnsi="Cambria"/>
          <w:color w:val="575757"/>
          <w:sz w:val="27"/>
          <w:szCs w:val="27"/>
        </w:rPr>
        <w:t> (</w:t>
      </w:r>
      <w:r>
        <w:rPr>
          <w:rStyle w:val="Emphasis"/>
          <w:rFonts w:ascii="Cambria" w:eastAsiaTheme="majorEastAsia" w:hAnsi="Cambria"/>
          <w:color w:val="575757"/>
          <w:sz w:val="27"/>
          <w:szCs w:val="27"/>
        </w:rPr>
        <w:t>run, rain, real</w:t>
      </w:r>
      <w:r>
        <w:rPr>
          <w:rFonts w:ascii="Cambria" w:hAnsi="Cambria"/>
          <w:color w:val="575757"/>
          <w:sz w:val="27"/>
          <w:szCs w:val="27"/>
        </w:rPr>
        <w:t>) than words that have </w:t>
      </w:r>
      <w:r>
        <w:rPr>
          <w:rStyle w:val="Emphasis"/>
          <w:rFonts w:ascii="Cambria" w:eastAsiaTheme="majorEastAsia" w:hAnsi="Cambria"/>
          <w:color w:val="575757"/>
          <w:sz w:val="27"/>
          <w:szCs w:val="27"/>
        </w:rPr>
        <w:t>r</w:t>
      </w:r>
      <w:r>
        <w:rPr>
          <w:rFonts w:ascii="Cambria" w:hAnsi="Cambria"/>
          <w:color w:val="575757"/>
          <w:sz w:val="27"/>
          <w:szCs w:val="27"/>
        </w:rPr>
        <w:t> in their third position (</w:t>
      </w:r>
      <w:r>
        <w:rPr>
          <w:rStyle w:val="Emphasis"/>
          <w:rFonts w:ascii="Cambria" w:eastAsiaTheme="majorEastAsia" w:hAnsi="Cambria"/>
          <w:color w:val="575757"/>
          <w:sz w:val="27"/>
          <w:szCs w:val="27"/>
        </w:rPr>
        <w:t>word, car, arranged</w:t>
      </w:r>
      <w:r>
        <w:rPr>
          <w:rFonts w:ascii="Cambria" w:hAnsi="Cambria"/>
          <w:color w:val="575757"/>
          <w:sz w:val="27"/>
          <w:szCs w:val="27"/>
        </w:rPr>
        <w:t>). When people die of botulism or in a tornado, it is front-page news, whereas deaths from asthma are not as publicized and therefore go virtually unnoticed by the general public (</w:t>
      </w:r>
      <w:r>
        <w:rPr>
          <w:rStyle w:val="citation"/>
          <w:rFonts w:ascii="Cambria" w:hAnsi="Cambria"/>
          <w:color w:val="575757"/>
          <w:sz w:val="27"/>
          <w:szCs w:val="27"/>
        </w:rPr>
        <w:t>Lichtenstein et al., 1978</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These examples illustrate how the availability heuristic can mislead us into reaching the wrong conclusion when less frequently occurring events stand out in our memory. The availability heuristic doesn’t always lead to errors, though; there are many situations in which the events that most easily come to mind actually </w:t>
      </w:r>
      <w:r>
        <w:rPr>
          <w:rStyle w:val="Emphasis"/>
          <w:rFonts w:ascii="Cambria" w:eastAsiaTheme="majorEastAsia" w:hAnsi="Cambria"/>
          <w:color w:val="575757"/>
          <w:sz w:val="27"/>
          <w:szCs w:val="27"/>
        </w:rPr>
        <w:t>do</w:t>
      </w:r>
      <w:r>
        <w:rPr>
          <w:rFonts w:ascii="Cambria" w:hAnsi="Cambria"/>
          <w:color w:val="575757"/>
          <w:sz w:val="27"/>
          <w:szCs w:val="27"/>
        </w:rPr>
        <w:t> occur frequently. For example, you might know from past observations that when it is cloudy and there is a certain smell in the air, it is likely going to rain. You have made these observations many times, so, thanks to the availability heuristic, the conclusion “it’s going to rain” easily comes to mind, and now you know to grab your umbrella. As another example, you may have noticed that your boss is more likely to grant your requests when he or she is in a good mood—another case in which the availability heuristic can help you arrive at reasonable conclusions.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Although observing correlations between events can be useful, sometimes people fall into the trap of creating illusory correlations. </w:t>
      </w:r>
      <w:hyperlink r:id="rId9" w:history="1">
        <w:r>
          <w:rPr>
            <w:rStyle w:val="primaryterm"/>
            <w:rFonts w:ascii="Cambria" w:hAnsi="Cambria"/>
            <w:b/>
            <w:bCs/>
            <w:color w:val="0081BC"/>
            <w:sz w:val="27"/>
            <w:szCs w:val="27"/>
          </w:rPr>
          <w:t>Illusory correlations</w:t>
        </w:r>
      </w:hyperlink>
      <w:r>
        <w:rPr>
          <w:rFonts w:ascii="Cambria" w:hAnsi="Cambria"/>
          <w:color w:val="575757"/>
          <w:sz w:val="27"/>
          <w:szCs w:val="27"/>
        </w:rPr>
        <w:t xml:space="preserve"> occur when a relationship between two events appears to exist, but in reality, there is no </w:t>
      </w:r>
      <w:proofErr w:type="gramStart"/>
      <w:r>
        <w:rPr>
          <w:rFonts w:ascii="Cambria" w:hAnsi="Cambria"/>
          <w:color w:val="575757"/>
          <w:sz w:val="27"/>
          <w:szCs w:val="27"/>
        </w:rPr>
        <w:t>relationship</w:t>
      </w:r>
      <w:proofErr w:type="gramEnd"/>
      <w:r>
        <w:rPr>
          <w:rFonts w:ascii="Cambria" w:hAnsi="Cambria"/>
          <w:color w:val="575757"/>
          <w:sz w:val="27"/>
          <w:szCs w:val="27"/>
        </w:rPr>
        <w:t xml:space="preserve"> or the relationship is much weaker than it is assumed to be. Illusory correlations can occur when we expect two things to be related; for instance, you may make an illusory correlation between wearing your “lucky” shirt and your team winning the game, so now you always wear that shirt to games, even though no relationship actually exists. This example shows how we can fool ourselves into thinking two events are related even when they are not.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3" w:name="PageEnd_397"/>
      <w:bookmarkEnd w:id="3"/>
      <w:r>
        <w:rPr>
          <w:rFonts w:ascii="Cambria" w:hAnsi="Cambria"/>
          <w:color w:val="575757"/>
          <w:sz w:val="27"/>
          <w:szCs w:val="27"/>
        </w:rPr>
        <w:t>Illusory correlations can also result in </w:t>
      </w:r>
      <w:hyperlink r:id="rId10" w:history="1">
        <w:r>
          <w:rPr>
            <w:rStyle w:val="primaryterm"/>
            <w:rFonts w:ascii="Cambria" w:hAnsi="Cambria"/>
            <w:b/>
            <w:bCs/>
            <w:color w:val="0081BC"/>
            <w:sz w:val="27"/>
            <w:szCs w:val="27"/>
          </w:rPr>
          <w:t>stereotypes</w:t>
        </w:r>
      </w:hyperlink>
      <w:r>
        <w:rPr>
          <w:rFonts w:ascii="Cambria" w:hAnsi="Cambria"/>
          <w:color w:val="575757"/>
          <w:sz w:val="27"/>
          <w:szCs w:val="27"/>
        </w:rPr>
        <w:t>—an oversimplified generalization about a group or class of people that often focuses on the negative. A stereotype about the characteristics of a particular group may lead people to pay particular attention to behaviors associated with that stereotype, and this attention creates an illusory correlation that reinforces the stereotype. For example, a person who lives in a rural area might adopt the stereotype that people who live in big cities are rude. This conclusion could be based on a few interactions with big city people, or perhaps images from the media. But the problem with stereotypes is that they can lead to the conclusion that all people in a group have a particular quality, when that may be far from the case. Many big city people can, in fact, be quite friendly! This phenomenon is related to the availability heuristic because selective attention to the stereotypical behaviors makes these behaviors more “available” (</w:t>
      </w:r>
      <w:r>
        <w:rPr>
          <w:rStyle w:val="citation"/>
          <w:rFonts w:ascii="Cambria" w:hAnsi="Cambria"/>
          <w:color w:val="575757"/>
          <w:sz w:val="27"/>
          <w:szCs w:val="27"/>
        </w:rPr>
        <w:t xml:space="preserve">Chapman &amp; Chapman, </w:t>
      </w:r>
      <w:proofErr w:type="gramStart"/>
      <w:r>
        <w:rPr>
          <w:rStyle w:val="citation"/>
          <w:rFonts w:ascii="Cambria" w:hAnsi="Cambria"/>
          <w:color w:val="575757"/>
          <w:sz w:val="27"/>
          <w:szCs w:val="27"/>
        </w:rPr>
        <w:t>1969</w:t>
      </w:r>
      <w:r>
        <w:rPr>
          <w:rFonts w:ascii="Cambria" w:hAnsi="Cambria"/>
          <w:color w:val="575757"/>
          <w:sz w:val="27"/>
          <w:szCs w:val="27"/>
        </w:rPr>
        <w:t>;</w:t>
      </w:r>
      <w:r>
        <w:rPr>
          <w:rStyle w:val="citation"/>
          <w:rFonts w:ascii="Cambria" w:hAnsi="Cambria"/>
          <w:color w:val="575757"/>
          <w:sz w:val="27"/>
          <w:szCs w:val="27"/>
        </w:rPr>
        <w:t>Hamilton</w:t>
      </w:r>
      <w:proofErr w:type="gramEnd"/>
      <w:r>
        <w:rPr>
          <w:rStyle w:val="citation"/>
          <w:rFonts w:ascii="Cambria" w:hAnsi="Cambria"/>
          <w:color w:val="575757"/>
          <w:sz w:val="27"/>
          <w:szCs w:val="27"/>
        </w:rPr>
        <w:t>, 1981</w:t>
      </w:r>
      <w:r>
        <w:rPr>
          <w:rFonts w:ascii="Cambria" w:hAnsi="Cambria"/>
          <w:color w:val="575757"/>
          <w:sz w:val="27"/>
          <w:szCs w:val="27"/>
        </w:rPr>
        <w:t>).</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13-1b</w:t>
      </w:r>
      <w:r>
        <w:rPr>
          <w:rStyle w:val="headingtext"/>
          <w:rFonts w:ascii="Tahoma" w:hAnsi="Tahoma" w:cs="Tahoma"/>
          <w:color w:val="DF7300"/>
          <w:sz w:val="41"/>
          <w:szCs w:val="41"/>
        </w:rPr>
        <w:t>The Representativeness Heuristic</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Whereas the availability heuristic involves making judgments based on how easily an event comes to mind, the </w:t>
      </w:r>
      <w:r>
        <w:rPr>
          <w:rStyle w:val="Emphasis"/>
          <w:rFonts w:ascii="Cambria" w:hAnsi="Cambria"/>
          <w:color w:val="575757"/>
          <w:sz w:val="27"/>
          <w:szCs w:val="27"/>
        </w:rPr>
        <w:t>representativeness heuristic</w:t>
      </w:r>
      <w:r>
        <w:rPr>
          <w:rFonts w:ascii="Cambria" w:hAnsi="Cambria"/>
          <w:color w:val="575757"/>
          <w:sz w:val="27"/>
          <w:szCs w:val="27"/>
        </w:rPr>
        <w:t> involves making judgments based on how much an event resembles other events.</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Making Judgments Based on Resemblance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When making judgments about an event or instance, it can be helpful to try to place that event in the same category as similar </w:t>
      </w:r>
      <w:r>
        <w:rPr>
          <w:rFonts w:ascii="Cambria" w:hAnsi="Cambria"/>
          <w:color w:val="575757"/>
          <w:sz w:val="27"/>
          <w:szCs w:val="27"/>
        </w:rPr>
        <w:lastRenderedPageBreak/>
        <w:t xml:space="preserve">events that we know more about. That way, we can draw conclusions based on not just the event in </w:t>
      </w:r>
      <w:proofErr w:type="gramStart"/>
      <w:r>
        <w:rPr>
          <w:rFonts w:ascii="Cambria" w:hAnsi="Cambria"/>
          <w:color w:val="575757"/>
          <w:sz w:val="27"/>
          <w:szCs w:val="27"/>
        </w:rPr>
        <w:t>question, but</w:t>
      </w:r>
      <w:proofErr w:type="gramEnd"/>
      <w:r>
        <w:rPr>
          <w:rFonts w:ascii="Cambria" w:hAnsi="Cambria"/>
          <w:color w:val="575757"/>
          <w:sz w:val="27"/>
          <w:szCs w:val="27"/>
        </w:rPr>
        <w:t xml:space="preserve"> based on the properties of the larger group. This shortcut is known as the </w:t>
      </w:r>
      <w:hyperlink r:id="rId11" w:history="1">
        <w:r>
          <w:rPr>
            <w:rStyle w:val="primaryterm"/>
            <w:rFonts w:ascii="Cambria" w:hAnsi="Cambria"/>
            <w:b/>
            <w:bCs/>
            <w:color w:val="0081BC"/>
            <w:sz w:val="27"/>
            <w:szCs w:val="27"/>
          </w:rPr>
          <w:t>representativeness heuristic</w:t>
        </w:r>
      </w:hyperlink>
      <w:r>
        <w:rPr>
          <w:rFonts w:ascii="Cambria" w:hAnsi="Cambria"/>
          <w:color w:val="575757"/>
          <w:sz w:val="27"/>
          <w:szCs w:val="27"/>
        </w:rPr>
        <w:t>, which states that the likelihood that an instance is a member of a larger category depends on how well that instance resembles properties we typically associate with that category. To put this in more concrete terms, consider the following demonstration.</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Judging Occupations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We randomly pick one male from the population of the United States. That male, Robert, wears glasses, speaks quietly, and reads a lot. Is it more likely that Robert is a librarian or a farmer?</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Amos Tversky and Daniel </w:t>
      </w:r>
      <w:r>
        <w:rPr>
          <w:rStyle w:val="citation"/>
          <w:rFonts w:ascii="Cambria" w:hAnsi="Cambria"/>
          <w:color w:val="575757"/>
          <w:sz w:val="27"/>
          <w:szCs w:val="27"/>
        </w:rPr>
        <w:t>Kahneman (1974)</w:t>
      </w:r>
      <w:r>
        <w:rPr>
          <w:rFonts w:ascii="Cambria" w:hAnsi="Cambria"/>
          <w:color w:val="575757"/>
          <w:sz w:val="27"/>
          <w:szCs w:val="27"/>
        </w:rPr>
        <w:t> presented this question in an experiment, more people guessed that Robert was a librarian. Apparently, the description of Robert as wearing glasses, speaking quietly, and reading a lot matched these people’s image of a typical librarian (see illusory correlations, above, and the chapter opening illustration). Thus, they were influenced by the fact that the description of Robert matches their conception of what a librarian is like. However, they were ignoring another important source of information—the base rates of farmers and librarians in the population. The </w:t>
      </w:r>
      <w:hyperlink r:id="rId12" w:history="1">
        <w:r>
          <w:rPr>
            <w:rStyle w:val="primaryterm"/>
            <w:rFonts w:ascii="Cambria" w:hAnsi="Cambria"/>
            <w:b/>
            <w:bCs/>
            <w:color w:val="0081BC"/>
            <w:sz w:val="27"/>
            <w:szCs w:val="27"/>
          </w:rPr>
          <w:t>base rate</w:t>
        </w:r>
      </w:hyperlink>
      <w:r>
        <w:rPr>
          <w:rFonts w:ascii="Cambria" w:hAnsi="Cambria"/>
          <w:color w:val="575757"/>
          <w:sz w:val="27"/>
          <w:szCs w:val="27"/>
        </w:rPr>
        <w:t> is the relative proportion of different classes in the population. In 1972, when this experiment was carried out, there were many more male farmers than male librarians in the United States, so if Robert was randomly chosen from the population, it is much more likely that he was a farmer. (Note that this base rate difference still holds. In 2016, according to the U.S. Bureau of Labor Statistics, there were more than 20 times as many male farmers as male librarians.)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reaction to the farmer–librarian problem might be that perhaps the participants were not aware of the base rates for farmers and librarians, so they didn’t have the information they needed to make a correct judgment. The effect of knowing the base rate has been demonstrated by presenting participants with the following problem:</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lastRenderedPageBreak/>
        <w:t>In a group of 100 people, there are 70 lawyers and 30 engineers. What is the chance that if we pick one person from the group at random that the person will be an engineer?</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4" w:name="PageEnd_398"/>
      <w:bookmarkEnd w:id="4"/>
      <w:r>
        <w:rPr>
          <w:rFonts w:ascii="Cambria" w:hAnsi="Cambria"/>
          <w:color w:val="575757"/>
          <w:sz w:val="27"/>
          <w:szCs w:val="27"/>
        </w:rPr>
        <w:t>Participants given this problem correctly guessed that there would be a 30 percent chance of picking an engineer. However, for some participants, the following description of the person who was picked was added to the above statement about base rate information:</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Jack is a 45-year-old man. He is married and has four children. He is generally conservative, careful, and ambitious. He shows no interest in political and social issues and spends most of his free time on his many hobbies, which include home carpentry, sailing, and mathematical puzzles.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Adding this description caused participants to greatly increase their estimate of the chances that the randomly picked person (Jack, in this case) was an engineer. Apparently, when only base rate information is available, people use that information to make their estimates. However, when any descriptive information is also available, people disregard the available base rate information, and this can potentially lead to errors in reasoning. Note, however, that the right kind of descriptive information can increase the accuracy of a judgment. For example, if the description of Jack also noted that his last job involved determining the structural characteristics of a bridge, then this would greatly increase the chances that he was, in fact, an engineer. Thus, just as it is important to pay attention to base rate information, the information provided by descriptions can also be useful if it is relevant to the instance that you are judging. When such information is available, then applying the representativeness heuristic can help us make correct judgments.</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Making Judgments Without Considering the Conjunction Rule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following demonstration illustrates another characteristic of the representativeness heuristic.</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lastRenderedPageBreak/>
        <w:t>Description of a Person</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Linda is 31 years old, single, outspoken, and very bright. She majored in philosophy. As a student, she was deeply concerned with issues of discrimination and social justice, and she also participated in antinuclear demonstrations. Which of the following alternatives is more probable?</w:t>
      </w:r>
    </w:p>
    <w:p w:rsidR="00670C65" w:rsidRDefault="00670C65" w:rsidP="00670C65">
      <w:pPr>
        <w:pStyle w:val="NormalWeb"/>
        <w:numPr>
          <w:ilvl w:val="0"/>
          <w:numId w:val="3"/>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Linda is a bank teller.</w:t>
      </w:r>
    </w:p>
    <w:p w:rsidR="00670C65" w:rsidRDefault="00670C65" w:rsidP="00670C65">
      <w:pPr>
        <w:pStyle w:val="NormalWeb"/>
        <w:numPr>
          <w:ilvl w:val="0"/>
          <w:numId w:val="3"/>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Linda is a bank teller and is active in the feminist movement.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correct answer to this problem is that Statement 1 has a greater probability of being true, but when Tversky and Kahneman (1983) posed this problem to their participants, 85 percent picked Statement 2. It is easy to see why they did this. The participants were influenced by the representativeness heuristic, because the description of Linda fits people’s idea of a typical feminist. However, in doing this, they violated the </w:t>
      </w:r>
      <w:hyperlink r:id="rId13" w:history="1">
        <w:r>
          <w:rPr>
            <w:rStyle w:val="primaryterm"/>
            <w:rFonts w:ascii="Cambria" w:hAnsi="Cambria"/>
            <w:b/>
            <w:bCs/>
            <w:color w:val="0081BC"/>
            <w:sz w:val="27"/>
            <w:szCs w:val="27"/>
          </w:rPr>
          <w:t>conjunction rule</w:t>
        </w:r>
      </w:hyperlink>
      <w:r>
        <w:rPr>
          <w:rFonts w:ascii="Cambria" w:hAnsi="Cambria"/>
          <w:color w:val="575757"/>
          <w:sz w:val="27"/>
          <w:szCs w:val="27"/>
        </w:rPr>
        <w:t>, which states that the probability of a conjunction of two events (A and B) cannot be higher than the probability of the single constituents (A alone or B alone). Because there are more bank tellers (A) than feminist bank tellers (A and B), stating that Linda is a bank teller </w:t>
      </w:r>
      <w:r>
        <w:rPr>
          <w:rStyle w:val="Emphasis"/>
          <w:rFonts w:ascii="Cambria" w:hAnsi="Cambria"/>
          <w:color w:val="575757"/>
          <w:sz w:val="27"/>
          <w:szCs w:val="27"/>
        </w:rPr>
        <w:t>includes</w:t>
      </w:r>
      <w:r>
        <w:rPr>
          <w:rFonts w:ascii="Cambria" w:hAnsi="Cambria"/>
          <w:color w:val="575757"/>
          <w:sz w:val="27"/>
          <w:szCs w:val="27"/>
        </w:rPr>
        <w:t> the possibility that she is a feminist bank teller (</w:t>
      </w:r>
      <w:hyperlink r:id="rId14" w:history="1">
        <w:r>
          <w:rPr>
            <w:rStyle w:val="Hyperlink"/>
            <w:rFonts w:ascii="Cambria" w:eastAsiaTheme="majorEastAsia" w:hAnsi="Cambria"/>
            <w:color w:val="007DB8"/>
            <w:sz w:val="27"/>
            <w:szCs w:val="27"/>
          </w:rPr>
          <w:t>Figure 13.1</w:t>
        </w:r>
      </w:hyperlink>
      <w:r>
        <w:rPr>
          <w:rFonts w:ascii="Cambria" w:hAnsi="Cambria"/>
          <w:color w:val="575757"/>
          <w:sz w:val="27"/>
          <w:szCs w:val="27"/>
        </w:rPr>
        <w:t>).</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13.1</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Because feminist bank tellers are a subset of bank tellers, it is always more likely that someone is a bank teller than a feminist bank teller.</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People tend to violate the conjunction rule even when it is clear that they understand it. The culprit is the representativeness heuristic. In the example just cited, the participants saw Linda’s characteristics as more representative of “feminist bank teller” than “bank teller.”</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Incorrectly Assuming that Small Samples Are Representative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using the representativeness heuristic to help draw conclusions, people can also</w:t>
      </w:r>
      <w:bookmarkStart w:id="5" w:name="PageEnd_399"/>
      <w:bookmarkEnd w:id="5"/>
      <w:r>
        <w:rPr>
          <w:rFonts w:ascii="Cambria" w:hAnsi="Cambria"/>
          <w:color w:val="575757"/>
          <w:sz w:val="27"/>
          <w:szCs w:val="27"/>
        </w:rPr>
        <w:t> make errors by ignoring the importance of the size of the sample on which observations are based. The following demonstration illustrates the effect of sample size.</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lastRenderedPageBreak/>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Male and Female Births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 certain town is served by two hospitals. In the larger hospital, about 45 babies are born each day, and in the smaller hospital, about 15 babies are born each day. As you know, about 50 percent of all babies are boys. However, the exact percentage varies from day to day. Sometimes it may be higher than 50 percent, sometimes lower. For a period of 1 year, each hospital recorded the days on which more than 60 percent of the babies born were boys. Which hospital do you think recorded more such days?</w:t>
      </w:r>
    </w:p>
    <w:p w:rsidR="00670C65" w:rsidRDefault="00670C65" w:rsidP="00670C65">
      <w:pPr>
        <w:pStyle w:val="NormalWeb"/>
        <w:numPr>
          <w:ilvl w:val="0"/>
          <w:numId w:val="4"/>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The larger hospital?</w:t>
      </w:r>
    </w:p>
    <w:p w:rsidR="00670C65" w:rsidRDefault="00670C65" w:rsidP="00670C65">
      <w:pPr>
        <w:pStyle w:val="NormalWeb"/>
        <w:numPr>
          <w:ilvl w:val="0"/>
          <w:numId w:val="4"/>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The smaller hospital?</w:t>
      </w:r>
    </w:p>
    <w:p w:rsidR="00670C65" w:rsidRDefault="00670C65" w:rsidP="00670C65">
      <w:pPr>
        <w:pStyle w:val="NormalWeb"/>
        <w:numPr>
          <w:ilvl w:val="0"/>
          <w:numId w:val="4"/>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About the same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participants were asked this question in an experiment (</w:t>
      </w:r>
      <w:r>
        <w:rPr>
          <w:rStyle w:val="citation"/>
          <w:rFonts w:ascii="Cambria" w:hAnsi="Cambria"/>
          <w:color w:val="575757"/>
          <w:sz w:val="27"/>
          <w:szCs w:val="27"/>
        </w:rPr>
        <w:t>Tversky &amp; Kahneman, 1974</w:t>
      </w:r>
      <w:r>
        <w:rPr>
          <w:rFonts w:ascii="Cambria" w:hAnsi="Cambria"/>
          <w:color w:val="575757"/>
          <w:sz w:val="27"/>
          <w:szCs w:val="27"/>
        </w:rPr>
        <w:t>), 22 percent picked the larger hospital, 22 percent picked the smaller hospital, and 56 percent stated that there would be no difference. The group that thought there would be no difference was presumably assuming that the birthrate for males and females in both hospitals would be representative of the overall birthrate for males and females. However, the correct answer is that there would be more days with over 60 percent male births in the small hospital. (And if the question had been about girls, there would also be more days with over 60 percent female births in the small hospital.)</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We can understand why this is the case by considering a statistical rule called the </w:t>
      </w:r>
      <w:hyperlink r:id="rId15" w:history="1">
        <w:r>
          <w:rPr>
            <w:rStyle w:val="primaryterm"/>
            <w:rFonts w:ascii="Cambria" w:hAnsi="Cambria"/>
            <w:b/>
            <w:bCs/>
            <w:color w:val="0081BC"/>
            <w:sz w:val="27"/>
            <w:szCs w:val="27"/>
          </w:rPr>
          <w:t>law of large numbers</w:t>
        </w:r>
      </w:hyperlink>
      <w:r>
        <w:rPr>
          <w:rFonts w:ascii="Cambria" w:hAnsi="Cambria"/>
          <w:color w:val="575757"/>
          <w:sz w:val="27"/>
          <w:szCs w:val="27"/>
        </w:rPr>
        <w:t xml:space="preserve">, which states that the larger the number of individuals that are randomly drawn from a population, the more representative the resulting group will be of the entire population. Conversely, samples of small numbers of individuals will be less representative of the population. Thus, in the hospital problem, it is more likely that the percentage of boys or girls born on any given day will be closer to 50 percent in the large hospital and farther from 50 percent in the small hospital. To make this conclusion clear, imagine that there is a very small hospital that records only one birth each day. Over a period of a year there will be 365 births, with about 50 percent being boys and 50 percent being girls. However, on any given day, there will be either 100 percent boys or 100 percent girls—clearly percentages that are not representative of the overall population. People often assume </w:t>
      </w:r>
      <w:r>
        <w:rPr>
          <w:rFonts w:ascii="Cambria" w:hAnsi="Cambria"/>
          <w:color w:val="575757"/>
          <w:sz w:val="27"/>
          <w:szCs w:val="27"/>
        </w:rPr>
        <w:lastRenderedPageBreak/>
        <w:t xml:space="preserve">that representativeness holds for small samples, and this can result in errors in reasoning. When there are a small number of observations, we should always be skeptical of the conclusions that are drawn. (See </w:t>
      </w:r>
      <w:proofErr w:type="spellStart"/>
      <w:r>
        <w:rPr>
          <w:rFonts w:ascii="Cambria" w:hAnsi="Cambria"/>
          <w:color w:val="575757"/>
          <w:sz w:val="27"/>
          <w:szCs w:val="27"/>
        </w:rPr>
        <w:t>Gigerenzer</w:t>
      </w:r>
      <w:proofErr w:type="spellEnd"/>
      <w:r>
        <w:rPr>
          <w:rFonts w:ascii="Cambria" w:hAnsi="Cambria"/>
          <w:color w:val="575757"/>
          <w:sz w:val="27"/>
          <w:szCs w:val="27"/>
        </w:rPr>
        <w:t xml:space="preserve"> &amp; </w:t>
      </w:r>
      <w:proofErr w:type="spellStart"/>
      <w:r>
        <w:rPr>
          <w:rFonts w:ascii="Cambria" w:hAnsi="Cambria"/>
          <w:color w:val="575757"/>
          <w:sz w:val="27"/>
          <w:szCs w:val="27"/>
        </w:rPr>
        <w:t>Hoffrage</w:t>
      </w:r>
      <w:proofErr w:type="spellEnd"/>
      <w:r>
        <w:rPr>
          <w:rFonts w:ascii="Cambria" w:hAnsi="Cambria"/>
          <w:color w:val="575757"/>
          <w:sz w:val="27"/>
          <w:szCs w:val="27"/>
        </w:rPr>
        <w:t xml:space="preserve">, 1995; </w:t>
      </w:r>
      <w:proofErr w:type="spellStart"/>
      <w:r>
        <w:rPr>
          <w:rFonts w:ascii="Cambria" w:hAnsi="Cambria"/>
          <w:color w:val="575757"/>
          <w:sz w:val="27"/>
          <w:szCs w:val="27"/>
        </w:rPr>
        <w:t>Gigerenzer</w:t>
      </w:r>
      <w:proofErr w:type="spellEnd"/>
      <w:r>
        <w:rPr>
          <w:rFonts w:ascii="Cambria" w:hAnsi="Cambria"/>
          <w:color w:val="575757"/>
          <w:sz w:val="27"/>
          <w:szCs w:val="27"/>
        </w:rPr>
        <w:t xml:space="preserve"> &amp; </w:t>
      </w:r>
      <w:r>
        <w:rPr>
          <w:rStyle w:val="citation"/>
          <w:rFonts w:ascii="Cambria" w:hAnsi="Cambria"/>
          <w:color w:val="575757"/>
          <w:sz w:val="27"/>
          <w:szCs w:val="27"/>
        </w:rPr>
        <w:t>Todd, 1999</w:t>
      </w:r>
      <w:r>
        <w:rPr>
          <w:rFonts w:ascii="Cambria" w:hAnsi="Cambria"/>
          <w:color w:val="575757"/>
          <w:sz w:val="27"/>
          <w:szCs w:val="27"/>
        </w:rPr>
        <w:t>, for additional perspectives on how statistical thinking and heuristics operate in reasoning.)</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13-1c</w:t>
      </w:r>
      <w:r>
        <w:rPr>
          <w:rStyle w:val="headingtext"/>
          <w:rFonts w:ascii="Tahoma" w:hAnsi="Tahoma" w:cs="Tahoma"/>
          <w:color w:val="DF7300"/>
          <w:sz w:val="41"/>
          <w:szCs w:val="41"/>
        </w:rPr>
        <w:t>Attitudes Can Affect Judgment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So far, we’ve seen that in inductive reasoning, heuristics can be used to help us quickly and easily make general judgments based on specific observations. Although these “shortcuts” are often useful and can lead to accurate conclusions, heuristics can also result in faulty conclusions by causing us to ignore some evidence. In addition to heuristics, the attitudes that we bring to the situation can also influence our judgments.</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The Myside Bias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Charles Lord and coworkers (1979) demonstrated how people can evaluate evidence in a way that is biased toward their own opinions and attitudes, an effect</w:t>
      </w:r>
      <w:bookmarkStart w:id="6" w:name="PageEnd_400"/>
      <w:bookmarkEnd w:id="6"/>
      <w:r>
        <w:rPr>
          <w:rFonts w:ascii="Cambria" w:hAnsi="Cambria"/>
          <w:color w:val="575757"/>
          <w:sz w:val="27"/>
          <w:szCs w:val="27"/>
        </w:rPr>
        <w:t> called the </w:t>
      </w:r>
      <w:hyperlink r:id="rId16" w:history="1">
        <w:r>
          <w:rPr>
            <w:rStyle w:val="primaryterm"/>
            <w:rFonts w:ascii="Cambria" w:hAnsi="Cambria"/>
            <w:b/>
            <w:bCs/>
            <w:color w:val="0081BC"/>
            <w:sz w:val="27"/>
            <w:szCs w:val="27"/>
          </w:rPr>
          <w:t>myside bias</w:t>
        </w:r>
      </w:hyperlink>
      <w:r>
        <w:rPr>
          <w:rFonts w:ascii="Cambria" w:hAnsi="Cambria"/>
          <w:color w:val="575757"/>
          <w:sz w:val="27"/>
          <w:szCs w:val="27"/>
        </w:rPr>
        <w:t>. (</w:t>
      </w:r>
      <w:r>
        <w:rPr>
          <w:rStyle w:val="citation"/>
          <w:rFonts w:ascii="Cambria" w:hAnsi="Cambria"/>
          <w:color w:val="575757"/>
          <w:sz w:val="27"/>
          <w:szCs w:val="27"/>
        </w:rPr>
        <w:t>McKenzie, 2004</w:t>
      </w:r>
      <w:r>
        <w:rPr>
          <w:rFonts w:ascii="Cambria" w:hAnsi="Cambria"/>
          <w:color w:val="575757"/>
          <w:sz w:val="27"/>
          <w:szCs w:val="27"/>
        </w:rPr>
        <w:t>; </w:t>
      </w:r>
      <w:r>
        <w:rPr>
          <w:rStyle w:val="citation"/>
          <w:rFonts w:ascii="Cambria" w:hAnsi="Cambria"/>
          <w:color w:val="575757"/>
          <w:sz w:val="27"/>
          <w:szCs w:val="27"/>
        </w:rPr>
        <w:t>Stanovich et al., 2013</w:t>
      </w:r>
      <w:r>
        <w:rPr>
          <w:rFonts w:ascii="Cambria" w:hAnsi="Cambria"/>
          <w:color w:val="575757"/>
          <w:sz w:val="27"/>
          <w:szCs w:val="27"/>
        </w:rPr>
        <w:t>; Taber &amp; </w:t>
      </w:r>
      <w:r>
        <w:rPr>
          <w:rStyle w:val="citation"/>
          <w:rFonts w:ascii="Cambria" w:hAnsi="Cambria"/>
          <w:color w:val="575757"/>
          <w:sz w:val="27"/>
          <w:szCs w:val="27"/>
        </w:rPr>
        <w:t>Lodge, 2006</w:t>
      </w:r>
      <w:r>
        <w:rPr>
          <w:rFonts w:ascii="Cambria" w:hAnsi="Cambria"/>
          <w:color w:val="575757"/>
          <w:sz w:val="27"/>
          <w:szCs w:val="27"/>
        </w:rPr>
        <w:t>). Lord used a questionnaire to identify one group of participants in favor of capital punishment and another group against it. Each participant was then presented with descriptions of research studies on capital punishment. Some of the studies provided evidence that capital punishment had a deterrent effect on murder; others provided evidence that capital punishment had no deterrent effect.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the participants reacted to the studies, their responses reflected the attitudes they had at the beginning of the experiment. For example, an article presenting evidence that supported the deterrent effect of capital punishment was rated as “convincing” by proponents of capital punishment and “unconvincing” by those against capital punishment. Apparently, people’s prior beliefs may have caused them to attend to information that corresponded with their beliefs and to disregard information that didn’t.</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lastRenderedPageBreak/>
        <w:t>The Confirmation Bias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myside bias is a type of </w:t>
      </w:r>
      <w:hyperlink r:id="rId17" w:history="1">
        <w:r>
          <w:rPr>
            <w:rStyle w:val="primaryterm"/>
            <w:rFonts w:ascii="Cambria" w:hAnsi="Cambria"/>
            <w:b/>
            <w:bCs/>
            <w:color w:val="0081BC"/>
            <w:sz w:val="27"/>
            <w:szCs w:val="27"/>
          </w:rPr>
          <w:t>confirmation bias</w:t>
        </w:r>
      </w:hyperlink>
      <w:r>
        <w:rPr>
          <w:rFonts w:ascii="Cambria" w:hAnsi="Cambria"/>
          <w:color w:val="575757"/>
          <w:sz w:val="27"/>
          <w:szCs w:val="27"/>
        </w:rPr>
        <w:t>, which occurs when people look for information that conforms to their hypothesis and ignore information that refutes it. The confirmation bias is broader than the myside bias because it holds for any situation (not just for opinions or attitudes) in which information is favored that confirms a hypothesis. Peter C. </w:t>
      </w:r>
      <w:proofErr w:type="spellStart"/>
      <w:r>
        <w:rPr>
          <w:rStyle w:val="citation"/>
          <w:rFonts w:ascii="Cambria" w:hAnsi="Cambria"/>
          <w:color w:val="575757"/>
          <w:sz w:val="27"/>
          <w:szCs w:val="27"/>
        </w:rPr>
        <w:t>Wason</w:t>
      </w:r>
      <w:proofErr w:type="spellEnd"/>
      <w:r>
        <w:rPr>
          <w:rStyle w:val="citation"/>
          <w:rFonts w:ascii="Cambria" w:hAnsi="Cambria"/>
          <w:color w:val="575757"/>
          <w:sz w:val="27"/>
          <w:szCs w:val="27"/>
        </w:rPr>
        <w:t xml:space="preserve"> (1960)</w:t>
      </w:r>
      <w:r>
        <w:rPr>
          <w:rFonts w:ascii="Cambria" w:hAnsi="Cambria"/>
          <w:color w:val="575757"/>
          <w:sz w:val="27"/>
          <w:szCs w:val="27"/>
        </w:rPr>
        <w:t> demonstrated how the confirmation bias can affect how people approach solving a problem by presenting participants with the following instructions: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You will be given three numbers which conform to a simple rule that I have in mind…. Your aim is to discover this rule by writing down sets of three numbers together with your reasons for your choice of them. After you have written down each set, I shall tell you whether your numbers conform to the rule or not. When you feel highly confident that you have discovered the rule, you are to write it down and tell me what it is. (p. 131)</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After </w:t>
      </w:r>
      <w:proofErr w:type="spellStart"/>
      <w:r>
        <w:rPr>
          <w:rFonts w:ascii="Cambria" w:hAnsi="Cambria"/>
          <w:color w:val="575757"/>
          <w:sz w:val="27"/>
          <w:szCs w:val="27"/>
        </w:rPr>
        <w:t>Wason</w:t>
      </w:r>
      <w:proofErr w:type="spellEnd"/>
      <w:r>
        <w:rPr>
          <w:rFonts w:ascii="Cambria" w:hAnsi="Cambria"/>
          <w:color w:val="575757"/>
          <w:sz w:val="27"/>
          <w:szCs w:val="27"/>
        </w:rPr>
        <w:t xml:space="preserve"> presented the first set of numbers, 2, 4, and 6, the participants began creating their own sets of three numbers, and for each set received feedback from </w:t>
      </w:r>
      <w:proofErr w:type="spellStart"/>
      <w:r>
        <w:rPr>
          <w:rFonts w:ascii="Cambria" w:hAnsi="Cambria"/>
          <w:color w:val="575757"/>
          <w:sz w:val="27"/>
          <w:szCs w:val="27"/>
        </w:rPr>
        <w:t>Wason</w:t>
      </w:r>
      <w:proofErr w:type="spellEnd"/>
      <w:r>
        <w:rPr>
          <w:rFonts w:ascii="Cambria" w:hAnsi="Cambria"/>
          <w:color w:val="575757"/>
          <w:sz w:val="27"/>
          <w:szCs w:val="27"/>
        </w:rPr>
        <w:t xml:space="preserve"> regarding whether their series of three numbers fit his rule. Note that </w:t>
      </w:r>
      <w:proofErr w:type="spellStart"/>
      <w:r>
        <w:rPr>
          <w:rFonts w:ascii="Cambria" w:hAnsi="Cambria"/>
          <w:color w:val="575757"/>
          <w:sz w:val="27"/>
          <w:szCs w:val="27"/>
        </w:rPr>
        <w:t>Wason</w:t>
      </w:r>
      <w:proofErr w:type="spellEnd"/>
      <w:r>
        <w:rPr>
          <w:rFonts w:ascii="Cambria" w:hAnsi="Cambria"/>
          <w:color w:val="575757"/>
          <w:sz w:val="27"/>
          <w:szCs w:val="27"/>
        </w:rPr>
        <w:t xml:space="preserve"> told participants only whether their numbers fit </w:t>
      </w:r>
      <w:proofErr w:type="spellStart"/>
      <w:r>
        <w:rPr>
          <w:rStyle w:val="Emphasis"/>
          <w:rFonts w:ascii="Cambria" w:hAnsi="Cambria"/>
          <w:color w:val="575757"/>
          <w:sz w:val="27"/>
          <w:szCs w:val="27"/>
        </w:rPr>
        <w:t>his</w:t>
      </w:r>
      <w:r>
        <w:rPr>
          <w:rFonts w:ascii="Cambria" w:hAnsi="Cambria"/>
          <w:color w:val="575757"/>
          <w:sz w:val="27"/>
          <w:szCs w:val="27"/>
        </w:rPr>
        <w:t>rule</w:t>
      </w:r>
      <w:proofErr w:type="spellEnd"/>
      <w:r>
        <w:rPr>
          <w:rFonts w:ascii="Cambria" w:hAnsi="Cambria"/>
          <w:color w:val="575757"/>
          <w:sz w:val="27"/>
          <w:szCs w:val="27"/>
        </w:rPr>
        <w:t>. The participants did not find out whether </w:t>
      </w:r>
      <w:r>
        <w:rPr>
          <w:rStyle w:val="Emphasis"/>
          <w:rFonts w:ascii="Cambria" w:hAnsi="Cambria"/>
          <w:color w:val="575757"/>
          <w:sz w:val="27"/>
          <w:szCs w:val="27"/>
        </w:rPr>
        <w:t>their</w:t>
      </w:r>
      <w:r>
        <w:rPr>
          <w:rFonts w:ascii="Cambria" w:hAnsi="Cambria"/>
          <w:color w:val="575757"/>
          <w:sz w:val="27"/>
          <w:szCs w:val="27"/>
        </w:rPr>
        <w:t xml:space="preserve"> rationale for creating the three numbers was correct until they felt confident enough to actually announce their rule. The most common initial hypothesis was “increasing intervals of two.” But because the actual rule was “three numbers in increasing order of magnitude,” the rule “increasing intervals of two” is incorrect even though it creates sequences that satisfy </w:t>
      </w:r>
      <w:proofErr w:type="spellStart"/>
      <w:r>
        <w:rPr>
          <w:rFonts w:ascii="Cambria" w:hAnsi="Cambria"/>
          <w:color w:val="575757"/>
          <w:sz w:val="27"/>
          <w:szCs w:val="27"/>
        </w:rPr>
        <w:t>Wason’s</w:t>
      </w:r>
      <w:proofErr w:type="spellEnd"/>
      <w:r>
        <w:rPr>
          <w:rFonts w:ascii="Cambria" w:hAnsi="Cambria"/>
          <w:color w:val="575757"/>
          <w:sz w:val="27"/>
          <w:szCs w:val="27"/>
        </w:rPr>
        <w:t xml:space="preserve"> rule.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reason why many people settled on an incorrect rule is because they were only seeking evidence that </w:t>
      </w:r>
      <w:r>
        <w:rPr>
          <w:rStyle w:val="Emphasis"/>
          <w:rFonts w:ascii="Cambria" w:hAnsi="Cambria"/>
          <w:color w:val="575757"/>
          <w:sz w:val="27"/>
          <w:szCs w:val="27"/>
        </w:rPr>
        <w:t>confirmed</w:t>
      </w:r>
      <w:r>
        <w:rPr>
          <w:rFonts w:ascii="Cambria" w:hAnsi="Cambria"/>
          <w:color w:val="575757"/>
          <w:sz w:val="27"/>
          <w:szCs w:val="27"/>
        </w:rPr>
        <w:t> their hypothesis, not evidence that </w:t>
      </w:r>
      <w:r>
        <w:rPr>
          <w:rStyle w:val="Emphasis"/>
          <w:rFonts w:ascii="Cambria" w:hAnsi="Cambria"/>
          <w:color w:val="575757"/>
          <w:sz w:val="27"/>
          <w:szCs w:val="27"/>
        </w:rPr>
        <w:t>refuted</w:t>
      </w:r>
      <w:r>
        <w:rPr>
          <w:rFonts w:ascii="Cambria" w:hAnsi="Cambria"/>
          <w:color w:val="575757"/>
          <w:sz w:val="27"/>
          <w:szCs w:val="27"/>
        </w:rPr>
        <w:t> it—that is, they were guilty of confirmation bias. The secret to determining the correct rule is to overcome confirmation bias by trying to create sequences that </w:t>
      </w:r>
      <w:r>
        <w:rPr>
          <w:rStyle w:val="Emphasis"/>
          <w:rFonts w:ascii="Cambria" w:hAnsi="Cambria"/>
          <w:color w:val="575757"/>
          <w:sz w:val="27"/>
          <w:szCs w:val="27"/>
        </w:rPr>
        <w:t>don’t</w:t>
      </w:r>
      <w:r>
        <w:rPr>
          <w:rFonts w:ascii="Cambria" w:hAnsi="Cambria"/>
          <w:color w:val="575757"/>
          <w:sz w:val="27"/>
          <w:szCs w:val="27"/>
        </w:rPr>
        <w:t> satisfy the person’s current hypothesis but </w:t>
      </w:r>
      <w:r>
        <w:rPr>
          <w:rStyle w:val="Emphasis"/>
          <w:rFonts w:ascii="Cambria" w:hAnsi="Cambria"/>
          <w:color w:val="575757"/>
          <w:sz w:val="27"/>
          <w:szCs w:val="27"/>
        </w:rPr>
        <w:t>do</w:t>
      </w:r>
      <w:r>
        <w:rPr>
          <w:rFonts w:ascii="Cambria" w:hAnsi="Cambria"/>
          <w:color w:val="575757"/>
          <w:sz w:val="27"/>
          <w:szCs w:val="27"/>
        </w:rPr>
        <w:t xml:space="preserve"> satisfy </w:t>
      </w:r>
      <w:proofErr w:type="spellStart"/>
      <w:r>
        <w:rPr>
          <w:rFonts w:ascii="Cambria" w:hAnsi="Cambria"/>
          <w:color w:val="575757"/>
          <w:sz w:val="27"/>
          <w:szCs w:val="27"/>
        </w:rPr>
        <w:t>Wason’s</w:t>
      </w:r>
      <w:proofErr w:type="spellEnd"/>
      <w:r>
        <w:rPr>
          <w:rFonts w:ascii="Cambria" w:hAnsi="Cambria"/>
          <w:color w:val="575757"/>
          <w:sz w:val="27"/>
          <w:szCs w:val="27"/>
        </w:rPr>
        <w:t xml:space="preserve"> rule. Thus, determining that the sequence 2, 4, 5 is correct allows us to reject our “increasing intervals of two” hypothesis and formulate a new one. The few participants whose rule was correct on their first guess followed the strategy </w:t>
      </w:r>
      <w:r>
        <w:rPr>
          <w:rFonts w:ascii="Cambria" w:hAnsi="Cambria"/>
          <w:color w:val="575757"/>
          <w:sz w:val="27"/>
          <w:szCs w:val="27"/>
        </w:rPr>
        <w:lastRenderedPageBreak/>
        <w:t>of testing a number of hypotheses themselves before giving their answer, by creating sequences that were designed to </w:t>
      </w:r>
      <w:r>
        <w:rPr>
          <w:rStyle w:val="Emphasis"/>
          <w:rFonts w:ascii="Cambria" w:hAnsi="Cambria"/>
          <w:color w:val="575757"/>
          <w:sz w:val="27"/>
          <w:szCs w:val="27"/>
        </w:rPr>
        <w:t>disconfirm</w:t>
      </w:r>
      <w:r>
        <w:rPr>
          <w:rFonts w:ascii="Cambria" w:hAnsi="Cambria"/>
          <w:color w:val="575757"/>
          <w:sz w:val="27"/>
          <w:szCs w:val="27"/>
        </w:rPr>
        <w:t> their current hypothesis. In contrast, participants who didn’t guess the rule correctly on their first try tended to keep creating sequences that </w:t>
      </w:r>
      <w:proofErr w:type="spellStart"/>
      <w:r>
        <w:rPr>
          <w:rStyle w:val="Emphasis"/>
          <w:rFonts w:ascii="Cambria" w:hAnsi="Cambria"/>
          <w:color w:val="575757"/>
          <w:sz w:val="27"/>
          <w:szCs w:val="27"/>
        </w:rPr>
        <w:t>confirmed</w:t>
      </w:r>
      <w:r>
        <w:rPr>
          <w:rFonts w:ascii="Cambria" w:hAnsi="Cambria"/>
          <w:color w:val="575757"/>
          <w:sz w:val="27"/>
          <w:szCs w:val="27"/>
        </w:rPr>
        <w:t>their</w:t>
      </w:r>
      <w:proofErr w:type="spellEnd"/>
      <w:r>
        <w:rPr>
          <w:rFonts w:ascii="Cambria" w:hAnsi="Cambria"/>
          <w:color w:val="575757"/>
          <w:sz w:val="27"/>
          <w:szCs w:val="27"/>
        </w:rPr>
        <w:t xml:space="preserve"> current hypothesis.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confirmation bias acts like a pair of blinders—we see the world according to rules we think are correct and are never dissuaded from this view because we seek out only evidence that confirms our rule. As we saw in the Lord experiment, these blinders created by our attitudes can influence our judgment in ways that extend beyond how we go about solving a problem.</w:t>
      </w:r>
    </w:p>
    <w:p w:rsidR="006F4A06" w:rsidRDefault="006F4A06"/>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13-1d</w:t>
      </w:r>
      <w:r>
        <w:rPr>
          <w:rStyle w:val="headingtext"/>
          <w:rFonts w:ascii="Tahoma" w:hAnsi="Tahoma" w:cs="Tahoma"/>
          <w:color w:val="DF7300"/>
          <w:sz w:val="41"/>
          <w:szCs w:val="41"/>
        </w:rPr>
        <w:t>Evaluating False Evidence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“True opinions can prevail only if the facts to which they refer are known; if they are not known, false ideas are just as effective as true ones, if not a little more effective.”</w:t>
      </w:r>
    </w:p>
    <w:p w:rsidR="00670C65" w:rsidRDefault="00670C65" w:rsidP="00670C65">
      <w:pPr>
        <w:shd w:val="clear" w:color="auto" w:fill="F9F9F9"/>
        <w:rPr>
          <w:rFonts w:ascii="Cambria" w:hAnsi="Cambria"/>
          <w:color w:val="575757"/>
          <w:sz w:val="27"/>
          <w:szCs w:val="27"/>
        </w:rPr>
      </w:pPr>
      <w:r>
        <w:rPr>
          <w:rStyle w:val="reference"/>
          <w:rFonts w:ascii="Tahoma" w:hAnsi="Tahoma" w:cs="Tahoma"/>
          <w:color w:val="575757"/>
          <w:sz w:val="22"/>
          <w:szCs w:val="22"/>
        </w:rPr>
        <w:t>Walter Lippmann, </w:t>
      </w:r>
      <w:r>
        <w:rPr>
          <w:rStyle w:val="Emphasis"/>
          <w:rFonts w:ascii="Tahoma" w:hAnsi="Tahoma" w:cs="Tahoma"/>
          <w:color w:val="575757"/>
          <w:sz w:val="22"/>
          <w:szCs w:val="22"/>
        </w:rPr>
        <w:t>Liberty and the News</w:t>
      </w:r>
      <w:r>
        <w:rPr>
          <w:rStyle w:val="reference"/>
          <w:rFonts w:ascii="Tahoma" w:hAnsi="Tahoma" w:cs="Tahoma"/>
          <w:color w:val="575757"/>
          <w:sz w:val="22"/>
          <w:szCs w:val="22"/>
        </w:rPr>
        <w:t> (1920)</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We have described various ways in which you could arrive at incorrect conclusions if there are errors in your reasoning. However, even if your reasoning is error-free, you could </w:t>
      </w:r>
      <w:proofErr w:type="spellStart"/>
      <w:r>
        <w:rPr>
          <w:rStyle w:val="Emphasis"/>
          <w:rFonts w:ascii="Cambria" w:eastAsiaTheme="majorEastAsia" w:hAnsi="Cambria"/>
          <w:color w:val="575757"/>
          <w:sz w:val="27"/>
          <w:szCs w:val="27"/>
        </w:rPr>
        <w:t>still</w:t>
      </w:r>
      <w:r>
        <w:rPr>
          <w:rFonts w:ascii="Cambria" w:hAnsi="Cambria"/>
          <w:color w:val="575757"/>
          <w:sz w:val="27"/>
          <w:szCs w:val="27"/>
        </w:rPr>
        <w:t>arrive</w:t>
      </w:r>
      <w:proofErr w:type="spellEnd"/>
      <w:r>
        <w:rPr>
          <w:rFonts w:ascii="Cambria" w:hAnsi="Cambria"/>
          <w:color w:val="575757"/>
          <w:sz w:val="27"/>
          <w:szCs w:val="27"/>
        </w:rPr>
        <w:t xml:space="preserve"> at incorrect conclusions if your facts are wrong to begin with. At this point, you might be asking yourself, “wait, why would my facts be wrong? Aren’t ‘facts’ inherently true?” There has been a lot of public discussion recently on what is a “fact” and what isn’t. For example, how do you know that information that you read online is accurate? It’s not always easy to tell. This is why it’s important to critically evaluate any evidence and information that you encounter, especially if you’re drawing conclusions from that evidence, as we often do.</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 recent initiative by the Italian government is exploring ways to better educate youths on how to identify false information online (</w:t>
      </w:r>
      <w:r>
        <w:rPr>
          <w:rStyle w:val="citation"/>
          <w:rFonts w:ascii="Cambria" w:hAnsi="Cambria"/>
          <w:color w:val="575757"/>
          <w:sz w:val="27"/>
          <w:szCs w:val="27"/>
        </w:rPr>
        <w:t>Horowitz, 2017</w:t>
      </w:r>
      <w:r>
        <w:rPr>
          <w:rFonts w:ascii="Cambria" w:hAnsi="Cambria"/>
          <w:color w:val="575757"/>
          <w:sz w:val="27"/>
          <w:szCs w:val="27"/>
        </w:rPr>
        <w:t xml:space="preserve">). This initiative includes curriculum updates focused on media literacy, such as how to recognize spoofed web addresses, verify the source of information, reach out to experts in the field, and even how to show others how they identified a story as fake—skills that are particularly important in Italy where conspiracy theories are common. This </w:t>
      </w:r>
      <w:r>
        <w:rPr>
          <w:rFonts w:ascii="Cambria" w:hAnsi="Cambria"/>
          <w:color w:val="575757"/>
          <w:sz w:val="27"/>
          <w:szCs w:val="27"/>
        </w:rPr>
        <w:lastRenderedPageBreak/>
        <w:t>program has been rolled out in 8,000 Italian high schools as of October 2017 with the hope of encouraging students to become more critical consumers of information and evaluators of evidence in the digital age.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Italian initiative is important because recent research in the area of media literacy has shown that people aren’t always diligent about evaluating evidence and instead sometimes rely on inaccurate information. For example, Sam </w:t>
      </w:r>
      <w:proofErr w:type="spellStart"/>
      <w:r>
        <w:rPr>
          <w:rFonts w:ascii="Cambria" w:hAnsi="Cambria"/>
          <w:color w:val="575757"/>
          <w:sz w:val="27"/>
          <w:szCs w:val="27"/>
        </w:rPr>
        <w:t>Wineburg</w:t>
      </w:r>
      <w:proofErr w:type="spellEnd"/>
      <w:r>
        <w:rPr>
          <w:rFonts w:ascii="Cambria" w:hAnsi="Cambria"/>
          <w:color w:val="575757"/>
          <w:sz w:val="27"/>
          <w:szCs w:val="27"/>
        </w:rPr>
        <w:t xml:space="preserve"> and coworkers (2016) assessed high school students’ ability to critically evaluate information that they find online. The students were shown a real post from a photo-sharing website. The post consisted of a picture of malformed daisies with the claim that the flowers had “nuclear birth defects” from Japan’s Fukushima Daiichi nuclear </w:t>
      </w:r>
      <w:proofErr w:type="gramStart"/>
      <w:r>
        <w:rPr>
          <w:rFonts w:ascii="Cambria" w:hAnsi="Cambria"/>
          <w:color w:val="575757"/>
          <w:sz w:val="27"/>
          <w:szCs w:val="27"/>
        </w:rPr>
        <w:t>disaster, but</w:t>
      </w:r>
      <w:proofErr w:type="gramEnd"/>
      <w:r>
        <w:rPr>
          <w:rFonts w:ascii="Cambria" w:hAnsi="Cambria"/>
          <w:color w:val="575757"/>
          <w:sz w:val="27"/>
          <w:szCs w:val="27"/>
        </w:rPr>
        <w:t xml:space="preserve"> provided no sources or anything else to back up the claim. When asked if the post provided strong evidence of the radioactive conditions near the nuclear plant, only 20 percent of students said “no” and were critical of the post. The remaining 80 percent of students were more inclined to believe the evidence, even though nothing was known about the photo’s source or the credibility of the person who posted it. As it turns out, the photo </w:t>
      </w:r>
      <w:r>
        <w:rPr>
          <w:rStyle w:val="Emphasis"/>
          <w:rFonts w:ascii="Cambria" w:eastAsiaTheme="majorEastAsia" w:hAnsi="Cambria"/>
          <w:color w:val="575757"/>
          <w:sz w:val="27"/>
          <w:szCs w:val="27"/>
        </w:rPr>
        <w:t>was</w:t>
      </w:r>
      <w:r>
        <w:rPr>
          <w:rFonts w:ascii="Cambria" w:hAnsi="Cambria"/>
          <w:color w:val="575757"/>
          <w:sz w:val="27"/>
          <w:szCs w:val="27"/>
        </w:rPr>
        <w:t> taken near Fukushima, but there was no evidence that the flowers’ appearance was due to radiation, which makes the post’s claim inaccurate.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Why might people be so quick to believe information that they read online or in the news, as in </w:t>
      </w:r>
      <w:proofErr w:type="spellStart"/>
      <w:r>
        <w:rPr>
          <w:rFonts w:ascii="Cambria" w:hAnsi="Cambria"/>
          <w:color w:val="575757"/>
          <w:sz w:val="27"/>
          <w:szCs w:val="27"/>
        </w:rPr>
        <w:t>Wineburg’s</w:t>
      </w:r>
      <w:proofErr w:type="spellEnd"/>
      <w:r>
        <w:rPr>
          <w:rFonts w:ascii="Cambria" w:hAnsi="Cambria"/>
          <w:color w:val="575757"/>
          <w:sz w:val="27"/>
          <w:szCs w:val="27"/>
        </w:rPr>
        <w:t xml:space="preserve"> study? Maybe they just don’t have access to (or don’t seek out) the resources to know whether the information is inaccurate, so they take it at face value without evaluating it further. According to this explanation, if people </w:t>
      </w:r>
      <w:r>
        <w:rPr>
          <w:rStyle w:val="Emphasis"/>
          <w:rFonts w:ascii="Cambria" w:eastAsiaTheme="majorEastAsia" w:hAnsi="Cambria"/>
          <w:color w:val="575757"/>
          <w:sz w:val="27"/>
          <w:szCs w:val="27"/>
        </w:rPr>
        <w:t>did</w:t>
      </w:r>
      <w:r>
        <w:rPr>
          <w:rFonts w:ascii="Cambria" w:hAnsi="Cambria"/>
          <w:color w:val="575757"/>
          <w:sz w:val="27"/>
          <w:szCs w:val="27"/>
        </w:rPr>
        <w:t> have the resources to know that the information was inaccurate, then they would no longer trust it or draw conclusions from it.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Surprisingly, though, this is not always the case. Research has shown that people do sometimes trust information that they were told was wrong. A study by </w:t>
      </w:r>
      <w:proofErr w:type="spellStart"/>
      <w:r>
        <w:rPr>
          <w:rFonts w:ascii="Cambria" w:hAnsi="Cambria"/>
          <w:color w:val="575757"/>
          <w:sz w:val="27"/>
          <w:szCs w:val="27"/>
        </w:rPr>
        <w:t>Nyhan</w:t>
      </w:r>
      <w:proofErr w:type="spellEnd"/>
      <w:r>
        <w:rPr>
          <w:rFonts w:ascii="Cambria" w:hAnsi="Cambria"/>
          <w:color w:val="575757"/>
          <w:sz w:val="27"/>
          <w:szCs w:val="27"/>
        </w:rPr>
        <w:t xml:space="preserve"> and </w:t>
      </w:r>
      <w:proofErr w:type="spellStart"/>
      <w:r>
        <w:rPr>
          <w:rFonts w:ascii="Cambria" w:hAnsi="Cambria"/>
          <w:color w:val="575757"/>
          <w:sz w:val="27"/>
          <w:szCs w:val="27"/>
        </w:rPr>
        <w:t>Reifler</w:t>
      </w:r>
      <w:proofErr w:type="spellEnd"/>
      <w:r>
        <w:rPr>
          <w:rFonts w:ascii="Cambria" w:hAnsi="Cambria"/>
          <w:color w:val="575757"/>
          <w:sz w:val="27"/>
          <w:szCs w:val="27"/>
        </w:rPr>
        <w:t xml:space="preserve"> (2010) assessed this using a real news situation from 2003: the misperception that Iraq was hiding weapons of mass destruction (WMDs)—a statement disseminated by the Bush </w:t>
      </w:r>
      <w:r>
        <w:rPr>
          <w:rFonts w:ascii="Cambria" w:hAnsi="Cambria"/>
          <w:color w:val="575757"/>
          <w:sz w:val="27"/>
          <w:szCs w:val="27"/>
        </w:rPr>
        <w:lastRenderedPageBreak/>
        <w:t>administration in order to justify the subsequent U.S. invasion of Iraq. Participants were given a mock news story suggesting that there were WMDs in Iraq. One group of participants was then provided with a correction stating that, in fact, no such weapons had ever been found. All of the participants were then asked to what extent they agreed with the following statement: “Immediately before the U.S. invasion, Iraq had an active weapons of mass destruction program, the ability to produce these weapons, and large stockpiles of</w:t>
      </w:r>
      <w:bookmarkStart w:id="7" w:name="PageEnd_402"/>
      <w:bookmarkEnd w:id="7"/>
      <w:r>
        <w:rPr>
          <w:rFonts w:ascii="Cambria" w:hAnsi="Cambria"/>
          <w:color w:val="575757"/>
          <w:sz w:val="27"/>
          <w:szCs w:val="27"/>
        </w:rPr>
        <w:t> WMDs, but Saddam Hussein was able to hide or destroy these weapons right before U.S. forces arrived.”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results showed that among participants who described themselves as very liberal, those who received the correction were more likely to disagree with the above statement than those who did not receive the correction, indicating that the correction effectively reduced WMD misperceptions. For moderate-liberal and centrist participants, the correction had no effect on WMD misperceptions; these participants still believed the WMD misperception just as much as the people who did not receive the correction. Interestingly, moderate-conservative and very conservative participants were actually </w:t>
      </w:r>
      <w:r>
        <w:rPr>
          <w:rStyle w:val="Emphasis"/>
          <w:rFonts w:ascii="Cambria" w:eastAsiaTheme="majorEastAsia" w:hAnsi="Cambria"/>
          <w:color w:val="575757"/>
          <w:sz w:val="27"/>
          <w:szCs w:val="27"/>
        </w:rPr>
        <w:t>more</w:t>
      </w:r>
      <w:r>
        <w:rPr>
          <w:rFonts w:ascii="Cambria" w:hAnsi="Cambria"/>
          <w:color w:val="575757"/>
          <w:sz w:val="27"/>
          <w:szCs w:val="27"/>
        </w:rPr>
        <w:t> likely to believe the misperception that Iraq had WMDs after being told that that information was false.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finding that an individual’s support for a particular viewpoint could actually become stronger when faced with corrective facts opposing their viewpoint has been called the </w:t>
      </w:r>
      <w:hyperlink r:id="rId18" w:history="1">
        <w:r>
          <w:rPr>
            <w:rStyle w:val="primaryterm"/>
            <w:rFonts w:ascii="Cambria" w:hAnsi="Cambria"/>
            <w:b/>
            <w:bCs/>
            <w:color w:val="0081BC"/>
            <w:sz w:val="27"/>
            <w:szCs w:val="27"/>
          </w:rPr>
          <w:t>backfire effect</w:t>
        </w:r>
      </w:hyperlink>
      <w:r>
        <w:rPr>
          <w:rFonts w:ascii="Cambria" w:hAnsi="Cambria"/>
          <w:color w:val="575757"/>
          <w:sz w:val="27"/>
          <w:szCs w:val="27"/>
        </w:rPr>
        <w:t>. This might be why conversations between people with strong opposing views (as in politics) can sometimes seem counterproductive—because with each new fact presented by one side, the other often clings even closer to their own beliefs. Due to these tightly held beliefs and preconceptions, it can be difficult to objectively evaluate evidence, which can lead to errors in conclusions drawn from that evidence.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We have now seen how inductive reasoning can lead to incorrect conclusions due to errors in the reasoning process, the effect of people’s attitudes, and problems in evaluating </w:t>
      </w:r>
      <w:r>
        <w:rPr>
          <w:rFonts w:ascii="Cambria" w:hAnsi="Cambria"/>
          <w:color w:val="575757"/>
          <w:sz w:val="27"/>
          <w:szCs w:val="27"/>
        </w:rPr>
        <w:lastRenderedPageBreak/>
        <w:t>evidence. </w:t>
      </w:r>
      <w:hyperlink r:id="rId19" w:history="1">
        <w:r>
          <w:rPr>
            <w:rStyle w:val="Hyperlink"/>
            <w:rFonts w:ascii="Cambria" w:hAnsi="Cambria"/>
            <w:color w:val="007DB8"/>
            <w:sz w:val="27"/>
            <w:szCs w:val="27"/>
            <w:u w:val="none"/>
          </w:rPr>
          <w:t>Table 13.2</w:t>
        </w:r>
      </w:hyperlink>
      <w:r>
        <w:rPr>
          <w:rFonts w:ascii="Cambria" w:hAnsi="Cambria"/>
          <w:color w:val="575757"/>
          <w:sz w:val="27"/>
          <w:szCs w:val="27"/>
        </w:rPr>
        <w:t> summarizes these potential sources of errors in inductive reasoning.</w:t>
      </w:r>
    </w:p>
    <w:p w:rsidR="00670C65" w:rsidRDefault="00670C65" w:rsidP="00670C65">
      <w:pPr>
        <w:rPr>
          <w:rFonts w:ascii="Cambria" w:hAnsi="Cambria"/>
          <w:color w:val="575757"/>
          <w:sz w:val="27"/>
          <w:szCs w:val="27"/>
        </w:rPr>
      </w:pPr>
      <w:bookmarkStart w:id="8" w:name="PageEnd_403"/>
      <w:bookmarkEnd w:id="8"/>
      <w:r>
        <w:rPr>
          <w:rStyle w:val="label"/>
          <w:rFonts w:ascii="Tahoma" w:hAnsi="Tahoma" w:cs="Tahoma"/>
          <w:color w:val="575757"/>
          <w:sz w:val="30"/>
          <w:szCs w:val="30"/>
          <w:shd w:val="clear" w:color="auto" w:fill="80B33D"/>
        </w:rPr>
        <w:t>Table </w:t>
      </w:r>
      <w:r>
        <w:rPr>
          <w:rStyle w:val="ordinal"/>
          <w:rFonts w:ascii="Tahoma" w:hAnsi="Tahoma" w:cs="Tahoma"/>
          <w:color w:val="575757"/>
          <w:sz w:val="30"/>
          <w:szCs w:val="30"/>
          <w:shd w:val="clear" w:color="auto" w:fill="80B33D"/>
        </w:rPr>
        <w:t>13.2</w:t>
      </w:r>
    </w:p>
    <w:p w:rsidR="00670C65" w:rsidRDefault="00670C65" w:rsidP="00670C65">
      <w:pPr>
        <w:pStyle w:val="Heading3"/>
        <w:spacing w:before="0"/>
        <w:ind w:left="375"/>
        <w:rPr>
          <w:rFonts w:ascii="Tahoma" w:hAnsi="Tahoma" w:cs="Tahoma"/>
          <w:color w:val="575757"/>
          <w:sz w:val="30"/>
          <w:szCs w:val="30"/>
        </w:rPr>
      </w:pPr>
      <w:r>
        <w:rPr>
          <w:rFonts w:ascii="Tahoma" w:hAnsi="Tahoma" w:cs="Tahoma"/>
          <w:color w:val="575757"/>
          <w:sz w:val="30"/>
          <w:szCs w:val="30"/>
        </w:rPr>
        <w:t>Potential Sources of Errors in Judgments</w:t>
      </w:r>
    </w:p>
    <w:tbl>
      <w:tblPr>
        <w:tblW w:w="109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706"/>
        <w:gridCol w:w="2096"/>
        <w:gridCol w:w="4967"/>
        <w:gridCol w:w="3226"/>
      </w:tblGrid>
      <w:tr w:rsidR="00670C65" w:rsidTr="00670C65">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b/>
                <w:bCs/>
                <w:color w:val="696969"/>
                <w:sz w:val="20"/>
                <w:szCs w:val="20"/>
              </w:rPr>
            </w:pPr>
            <w:r>
              <w:rPr>
                <w:rFonts w:ascii="Tahoma" w:hAnsi="Tahoma" w:cs="Tahoma"/>
                <w:b/>
                <w:bCs/>
                <w:color w:val="696969"/>
                <w:sz w:val="20"/>
                <w:szCs w:val="20"/>
              </w:rPr>
              <w:t>Page</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Source</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Description</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Error occurs when</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396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Availability heuristic</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Events that are more easily remembered are judged as more probable.</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Easily remembered event is less probable.</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397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Illusory correlation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Strong correlation between two events appears to exist but doesn’t.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 is no correlation, or it is weaker than it appears to be.</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398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Representativeness heuristic</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Probability that A is a member of class B is determined by how well properties of A resemble properties usually associated with B.</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Presence of similar properties doesn’t predict membership in class B.</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398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Base rate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Relative proportions of different classes in the population.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Base rate information is not taken into account.</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399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Conjunction rule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Probability of conjunction of two events (A and B) cannot be higher than the probability of single constituents.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Higher probability is assigned to the conjunction.</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400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Law of large numbers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 larger the number of individuals drawn from a population, the more representative the group will be of the entire population.</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It is assumed that a small number of individuals accurately represents the entire population.</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401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Myside bias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Tendency for people to generate and evaluate evidence and test their hypotheses in a way that is biased toward their own opinions and attitudes; the myside bias is a type of confirmation bias.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People let their own opinions and attitudes influence how they evaluate evidence needed to make decisions.</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401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Confirmation bias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Selectively looking for information that conforms to a hypothesis and overlooking information that argues against it.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 is a narrow focus only on confirming information.</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jc w:val="center"/>
              <w:rPr>
                <w:rFonts w:ascii="Tahoma" w:hAnsi="Tahoma" w:cs="Tahoma"/>
                <w:color w:val="575757"/>
                <w:sz w:val="20"/>
                <w:szCs w:val="20"/>
              </w:rPr>
            </w:pPr>
            <w:r>
              <w:rPr>
                <w:rFonts w:ascii="Tahoma" w:hAnsi="Tahoma" w:cs="Tahoma"/>
                <w:color w:val="575757"/>
                <w:sz w:val="20"/>
                <w:szCs w:val="20"/>
              </w:rPr>
              <w:t>403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Backfire effect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Person’s support for a particular viewpoint becomes stronger when presented with facts opposing their viewpoint.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Person holds to their beliefs in the face of contradictory evidence.</w:t>
            </w:r>
          </w:p>
        </w:tc>
      </w:tr>
    </w:tbl>
    <w:p w:rsidR="00670C65" w:rsidRDefault="00670C65" w:rsidP="00670C65">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2" name="Picture 2"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large Ta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Although you might get the impression from this discussion that most of our judgments are in error, this isn’t actually the case. For instance, we have seen that the availability heuristic and representativeness heuristic can be helpful and quick shortcuts. Additionally, if we understand the base rate principle, conjunction rule, and the law of large numbers, we are more likely to arrive at accurate conclusions. Finally, by being aware of the effects of our own preconceptions and beliefs, such as the </w:t>
      </w:r>
      <w:r>
        <w:rPr>
          <w:rFonts w:ascii="Cambria" w:hAnsi="Cambria"/>
          <w:color w:val="575757"/>
          <w:sz w:val="27"/>
          <w:szCs w:val="27"/>
        </w:rPr>
        <w:lastRenderedPageBreak/>
        <w:t>myside and confirmation biases, we can try to avoid the errors that can arise from them.</w:t>
      </w:r>
    </w:p>
    <w:p w:rsidR="00670C65" w:rsidRDefault="00670C65" w:rsidP="00670C65">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13-2</w:t>
      </w:r>
      <w:r>
        <w:rPr>
          <w:rStyle w:val="headingtext"/>
          <w:rFonts w:ascii="Tahoma" w:hAnsi="Tahoma" w:cs="Tahoma"/>
          <w:b w:val="0"/>
          <w:bCs w:val="0"/>
          <w:color w:val="007DB8"/>
        </w:rPr>
        <w:t>Deductive Reasoning: Syllogisms and Logic</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So far, we have considered inductive reasoning, which is drawing conclusions based on observations. In </w:t>
      </w:r>
      <w:hyperlink r:id="rId20" w:history="1">
        <w:r>
          <w:rPr>
            <w:rStyle w:val="primaryterm"/>
            <w:rFonts w:ascii="Cambria" w:hAnsi="Cambria"/>
            <w:b/>
            <w:bCs/>
            <w:color w:val="0081BC"/>
            <w:sz w:val="27"/>
            <w:szCs w:val="27"/>
          </w:rPr>
          <w:t>deductive reasoning</w:t>
        </w:r>
      </w:hyperlink>
      <w:r>
        <w:rPr>
          <w:rFonts w:ascii="Cambria" w:hAnsi="Cambria"/>
          <w:color w:val="575757"/>
          <w:sz w:val="27"/>
          <w:szCs w:val="27"/>
        </w:rPr>
        <w:t>, we determine whether a conclusion </w:t>
      </w:r>
      <w:r>
        <w:rPr>
          <w:rStyle w:val="Emphasis"/>
          <w:rFonts w:ascii="Cambria" w:hAnsi="Cambria"/>
          <w:color w:val="575757"/>
          <w:sz w:val="27"/>
          <w:szCs w:val="27"/>
        </w:rPr>
        <w:t>logically follows</w:t>
      </w:r>
      <w:r>
        <w:rPr>
          <w:rFonts w:ascii="Cambria" w:hAnsi="Cambria"/>
          <w:color w:val="575757"/>
          <w:sz w:val="27"/>
          <w:szCs w:val="27"/>
        </w:rPr>
        <w:t> from statements. To help us understand the difference between these two types of reasoning, we can consider the scope of the information being processed. Inductive reasoning starts with </w:t>
      </w:r>
      <w:r>
        <w:rPr>
          <w:rStyle w:val="Emphasis"/>
          <w:rFonts w:ascii="Cambria" w:hAnsi="Cambria"/>
          <w:color w:val="575757"/>
          <w:sz w:val="27"/>
          <w:szCs w:val="27"/>
        </w:rPr>
        <w:t>specific</w:t>
      </w:r>
      <w:r>
        <w:rPr>
          <w:rFonts w:ascii="Cambria" w:hAnsi="Cambria"/>
          <w:color w:val="575757"/>
          <w:sz w:val="27"/>
          <w:szCs w:val="27"/>
        </w:rPr>
        <w:t> cases and generalizes to </w:t>
      </w:r>
      <w:r>
        <w:rPr>
          <w:rStyle w:val="Emphasis"/>
          <w:rFonts w:ascii="Cambria" w:hAnsi="Cambria"/>
          <w:color w:val="575757"/>
          <w:sz w:val="27"/>
          <w:szCs w:val="27"/>
        </w:rPr>
        <w:t>broad</w:t>
      </w:r>
      <w:r>
        <w:rPr>
          <w:rFonts w:ascii="Cambria" w:hAnsi="Cambria"/>
          <w:color w:val="575757"/>
          <w:sz w:val="27"/>
          <w:szCs w:val="27"/>
        </w:rPr>
        <w:t> principles. For example, in the case of Marc Gasol described at the beginning of the chapter, the NBA recruiters relied on specific instances of non-muscular players being unsuccessful to generalize that all non-muscular players would be unsuccessful. In contrast, deductive reasoning starts with </w:t>
      </w:r>
      <w:r>
        <w:rPr>
          <w:rStyle w:val="Emphasis"/>
          <w:rFonts w:ascii="Cambria" w:hAnsi="Cambria"/>
          <w:color w:val="575757"/>
          <w:sz w:val="27"/>
          <w:szCs w:val="27"/>
        </w:rPr>
        <w:t>broad</w:t>
      </w:r>
      <w:r>
        <w:rPr>
          <w:rFonts w:ascii="Cambria" w:hAnsi="Cambria"/>
          <w:color w:val="575757"/>
          <w:sz w:val="27"/>
          <w:szCs w:val="27"/>
        </w:rPr>
        <w:t> principles to make logical predictions about </w:t>
      </w:r>
      <w:proofErr w:type="spellStart"/>
      <w:r>
        <w:rPr>
          <w:rStyle w:val="Emphasis"/>
          <w:rFonts w:ascii="Cambria" w:hAnsi="Cambria"/>
          <w:color w:val="575757"/>
          <w:sz w:val="27"/>
          <w:szCs w:val="27"/>
        </w:rPr>
        <w:t>specific</w:t>
      </w:r>
      <w:r>
        <w:rPr>
          <w:rFonts w:ascii="Cambria" w:hAnsi="Cambria"/>
          <w:color w:val="575757"/>
          <w:sz w:val="27"/>
          <w:szCs w:val="27"/>
        </w:rPr>
        <w:t>cases</w:t>
      </w:r>
      <w:proofErr w:type="spellEnd"/>
      <w:r>
        <w:rPr>
          <w:rFonts w:ascii="Cambria" w:hAnsi="Cambria"/>
          <w:color w:val="575757"/>
          <w:sz w:val="27"/>
          <w:szCs w:val="27"/>
        </w:rPr>
        <w:t>. For example, we could start with the broad principle that “all NBA players are humans,” and then consider that “Marc Gasol is an NBA player,” in order to logically conclude that “Marc Gasol is a human.” Let’s now consider how logic is used to arrive at conclusions in deductive reasoning.</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13-2a</w:t>
      </w:r>
      <w:r>
        <w:rPr>
          <w:rStyle w:val="headingtext"/>
          <w:rFonts w:ascii="Tahoma" w:hAnsi="Tahoma" w:cs="Tahoma"/>
          <w:color w:val="DF7300"/>
          <w:sz w:val="41"/>
          <w:szCs w:val="41"/>
        </w:rPr>
        <w:t>Categorical Syllogisms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father of deductive reasoning is Aristotle, who introduced the basic form of deductive reasoning called the </w:t>
      </w:r>
      <w:hyperlink r:id="rId21" w:history="1">
        <w:r>
          <w:rPr>
            <w:rStyle w:val="primaryterm"/>
            <w:rFonts w:ascii="Cambria" w:hAnsi="Cambria"/>
            <w:b/>
            <w:bCs/>
            <w:color w:val="0081BC"/>
            <w:sz w:val="27"/>
            <w:szCs w:val="27"/>
          </w:rPr>
          <w:t>syllogism</w:t>
        </w:r>
      </w:hyperlink>
      <w:r>
        <w:rPr>
          <w:rFonts w:ascii="Cambria" w:hAnsi="Cambria"/>
          <w:color w:val="575757"/>
          <w:sz w:val="27"/>
          <w:szCs w:val="27"/>
        </w:rPr>
        <w:t>. A syllogism consists of two broad statements, or </w:t>
      </w:r>
      <w:hyperlink r:id="rId22" w:history="1">
        <w:r>
          <w:rPr>
            <w:rStyle w:val="primaryterm"/>
            <w:rFonts w:ascii="Cambria" w:hAnsi="Cambria"/>
            <w:b/>
            <w:bCs/>
            <w:color w:val="0081BC"/>
            <w:sz w:val="27"/>
            <w:szCs w:val="27"/>
          </w:rPr>
          <w:t>premises</w:t>
        </w:r>
      </w:hyperlink>
      <w:r>
        <w:rPr>
          <w:rFonts w:ascii="Cambria" w:hAnsi="Cambria"/>
          <w:color w:val="575757"/>
          <w:sz w:val="27"/>
          <w:szCs w:val="27"/>
        </w:rPr>
        <w:t>, followed by a third statement called the conclusion. We will first consider</w:t>
      </w:r>
      <w:bookmarkStart w:id="9" w:name="PageEnd_404"/>
      <w:bookmarkEnd w:id="9"/>
      <w:r>
        <w:rPr>
          <w:rFonts w:ascii="Cambria" w:hAnsi="Cambria"/>
          <w:color w:val="575757"/>
          <w:sz w:val="27"/>
          <w:szCs w:val="27"/>
        </w:rPr>
        <w:t> </w:t>
      </w:r>
      <w:hyperlink r:id="rId23" w:history="1">
        <w:r>
          <w:rPr>
            <w:rStyle w:val="primaryterm"/>
            <w:rFonts w:ascii="Cambria" w:hAnsi="Cambria"/>
            <w:b/>
            <w:bCs/>
            <w:color w:val="0081BC"/>
            <w:sz w:val="27"/>
            <w:szCs w:val="27"/>
          </w:rPr>
          <w:t>categorical syllogisms</w:t>
        </w:r>
      </w:hyperlink>
      <w:r>
        <w:rPr>
          <w:rFonts w:ascii="Cambria" w:hAnsi="Cambria"/>
          <w:color w:val="575757"/>
          <w:sz w:val="27"/>
          <w:szCs w:val="27"/>
        </w:rPr>
        <w:t>, in which the premises and conclusion are statements that begin with </w:t>
      </w:r>
      <w:r>
        <w:rPr>
          <w:rStyle w:val="Emphasis"/>
          <w:rFonts w:ascii="Cambria" w:hAnsi="Cambria"/>
          <w:color w:val="575757"/>
          <w:sz w:val="27"/>
          <w:szCs w:val="27"/>
        </w:rPr>
        <w:t>All, No</w:t>
      </w:r>
      <w:r>
        <w:rPr>
          <w:rFonts w:ascii="Cambria" w:hAnsi="Cambria"/>
          <w:color w:val="575757"/>
          <w:sz w:val="27"/>
          <w:szCs w:val="27"/>
        </w:rPr>
        <w:t>, or </w:t>
      </w:r>
      <w:r>
        <w:rPr>
          <w:rStyle w:val="Emphasis"/>
          <w:rFonts w:ascii="Cambria" w:hAnsi="Cambria"/>
          <w:color w:val="575757"/>
          <w:sz w:val="27"/>
          <w:szCs w:val="27"/>
        </w:rPr>
        <w:t>Some</w:t>
      </w:r>
      <w:r>
        <w:rPr>
          <w:rFonts w:ascii="Cambria" w:hAnsi="Cambria"/>
          <w:color w:val="575757"/>
          <w:sz w:val="27"/>
          <w:szCs w:val="27"/>
        </w:rPr>
        <w:t>. An example of a categorical syllogism is the following:</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Syllogism 1</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Premise 1: All birds are animals. (All A are B)</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Premise 2: All animals eat food. (All B are C)</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Conclusion: Therefore, all birds eat food. (All A are C)</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Notice that the syllogism is stated both in terms of birds, animals, and food, and A, B, and C. We will see that the A, B, C format is a useful way to compare the forms of different syllogisms. Look at this syllogism and decide, before reading further, whether the conclusion follows from the two premises.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What was your answer? If it was “yes,” you were correct, but what does it mean to say that the conclusion follows from the premises? The answer to this question involves considering the difference between </w:t>
      </w:r>
      <w:r>
        <w:rPr>
          <w:rStyle w:val="Emphasis"/>
          <w:rFonts w:ascii="Cambria" w:hAnsi="Cambria"/>
          <w:color w:val="575757"/>
          <w:sz w:val="27"/>
          <w:szCs w:val="27"/>
        </w:rPr>
        <w:t>validity</w:t>
      </w:r>
      <w:r>
        <w:rPr>
          <w:rFonts w:ascii="Cambria" w:hAnsi="Cambria"/>
          <w:color w:val="575757"/>
          <w:sz w:val="27"/>
          <w:szCs w:val="27"/>
        </w:rPr>
        <w:t> and </w:t>
      </w:r>
      <w:r>
        <w:rPr>
          <w:rStyle w:val="Emphasis"/>
          <w:rFonts w:ascii="Cambria" w:hAnsi="Cambria"/>
          <w:color w:val="575757"/>
          <w:sz w:val="27"/>
          <w:szCs w:val="27"/>
        </w:rPr>
        <w:t>truth</w:t>
      </w:r>
      <w:r>
        <w:rPr>
          <w:rFonts w:ascii="Cambria" w:hAnsi="Cambria"/>
          <w:color w:val="575757"/>
          <w:sz w:val="27"/>
          <w:szCs w:val="27"/>
        </w:rPr>
        <w:t> in syllogisms.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word </w:t>
      </w:r>
      <w:r>
        <w:rPr>
          <w:rStyle w:val="Emphasis"/>
          <w:rFonts w:ascii="Cambria" w:hAnsi="Cambria"/>
          <w:color w:val="575757"/>
          <w:sz w:val="27"/>
          <w:szCs w:val="27"/>
        </w:rPr>
        <w:t>valid</w:t>
      </w:r>
      <w:r>
        <w:rPr>
          <w:rFonts w:ascii="Cambria" w:hAnsi="Cambria"/>
          <w:color w:val="575757"/>
          <w:sz w:val="27"/>
          <w:szCs w:val="27"/>
        </w:rPr>
        <w:t> is often used in everyday conversation to mean that something is true or might be true. For example, saying “Susan has a valid point” could mean that what Susan is saying is true, or possibly that her point should be considered further. However, when used in conjunction with syllogisms, the term </w:t>
      </w:r>
      <w:hyperlink r:id="rId24" w:history="1">
        <w:r>
          <w:rPr>
            <w:rStyle w:val="primaryterm"/>
            <w:rFonts w:ascii="Cambria" w:hAnsi="Cambria"/>
            <w:b/>
            <w:bCs/>
            <w:color w:val="0081BC"/>
            <w:sz w:val="27"/>
            <w:szCs w:val="27"/>
          </w:rPr>
          <w:t>validity</w:t>
        </w:r>
      </w:hyperlink>
      <w:r>
        <w:rPr>
          <w:rFonts w:ascii="Cambria" w:hAnsi="Cambria"/>
          <w:color w:val="575757"/>
          <w:sz w:val="27"/>
          <w:szCs w:val="27"/>
        </w:rPr>
        <w:t> has a different meaning: A syllogism is valid when the </w:t>
      </w:r>
      <w:r>
        <w:rPr>
          <w:rStyle w:val="Emphasis"/>
          <w:rFonts w:ascii="Cambria" w:hAnsi="Cambria"/>
          <w:color w:val="575757"/>
          <w:sz w:val="27"/>
          <w:szCs w:val="27"/>
        </w:rPr>
        <w:t>form</w:t>
      </w:r>
      <w:r>
        <w:rPr>
          <w:rFonts w:ascii="Cambria" w:hAnsi="Cambria"/>
          <w:color w:val="575757"/>
          <w:sz w:val="27"/>
          <w:szCs w:val="27"/>
        </w:rPr>
        <w:t> of the syllogism indicates that its conclusion follows </w:t>
      </w:r>
      <w:r>
        <w:rPr>
          <w:rStyle w:val="Emphasis"/>
          <w:rFonts w:ascii="Cambria" w:hAnsi="Cambria"/>
          <w:color w:val="575757"/>
          <w:sz w:val="27"/>
          <w:szCs w:val="27"/>
        </w:rPr>
        <w:t>logically</w:t>
      </w:r>
      <w:r>
        <w:rPr>
          <w:rFonts w:ascii="Cambria" w:hAnsi="Cambria"/>
          <w:color w:val="575757"/>
          <w:sz w:val="27"/>
          <w:szCs w:val="27"/>
        </w:rPr>
        <w:t> from its two premises. Notice that nowhere in this meaning does it say anything about the conclusion being “true.” We will return to this in a moment.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Let’s now consider another syllogism that has exactly the same form as the first one.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Syllogism 2</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birds are animals. (All A are B)</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animals have four legs. (All B are C)</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birds have four legs. (All A are C)</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From the A, B, C notation we can see that this syllogism has the same form as Syllogism 1. Because the syllogism’s form is what determines its validity, and we saw that Syllogism 1 is valid, we can therefore conclude that the conclusion of Syllogism 2 follows from the premises, so it is also valid.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At this point you may feel that something is wrong. How can Syllogism 2 be valid when it is obvious that the conclusion is wrong, because birds don’t have four legs? This brings us back to the fact that nowhere in our definition of validity does the </w:t>
      </w:r>
      <w:r>
        <w:rPr>
          <w:rFonts w:ascii="Cambria" w:hAnsi="Cambria"/>
          <w:color w:val="575757"/>
          <w:sz w:val="27"/>
          <w:szCs w:val="27"/>
        </w:rPr>
        <w:lastRenderedPageBreak/>
        <w:t>word “truth” appear. Validity is about whether the conclusion </w:t>
      </w:r>
      <w:r>
        <w:rPr>
          <w:rStyle w:val="Emphasis"/>
          <w:rFonts w:ascii="Cambria" w:hAnsi="Cambria"/>
          <w:color w:val="575757"/>
          <w:sz w:val="27"/>
          <w:szCs w:val="27"/>
        </w:rPr>
        <w:t>logically follows</w:t>
      </w:r>
      <w:r>
        <w:rPr>
          <w:rFonts w:ascii="Cambria" w:hAnsi="Cambria"/>
          <w:color w:val="575757"/>
          <w:sz w:val="27"/>
          <w:szCs w:val="27"/>
        </w:rPr>
        <w:t> from the premises based on the form or structure of the syllogism. If it does, </w:t>
      </w:r>
      <w:r>
        <w:rPr>
          <w:rStyle w:val="Emphasis"/>
          <w:rFonts w:ascii="Cambria" w:hAnsi="Cambria"/>
          <w:color w:val="575757"/>
          <w:sz w:val="27"/>
          <w:szCs w:val="27"/>
        </w:rPr>
        <w:t>and</w:t>
      </w:r>
      <w:r>
        <w:rPr>
          <w:rFonts w:ascii="Cambria" w:hAnsi="Cambria"/>
          <w:color w:val="575757"/>
          <w:sz w:val="27"/>
          <w:szCs w:val="27"/>
        </w:rPr>
        <w:t> the premises are true, as in Syllogism 1, then the conclusion will be true as well. But if one or both of the premises are not true, the conclusion may not be true, even though the syllogism’s reasoning is valid. Returning to Syllogism 2, we see that “All animals have four legs” is not true; that is, it is not consistent with what we know about the world. It is no coincidence, then, that the conclusion, “All birds have four legs,” is not true either, even though the syllogism is valid.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difference between validity and truth can make it difficult to judge whether reasoning is “logical” or not, because not only can valid syllogisms result in false conclusions, as in Syllogism 2, but syllogisms can also be invalid even though each of the premises and the conclusion could be true. In other words, a syllogism can have validity but not truth (as in Syllogism 2) or can have truth but not validity, as in Syllogism 3 below, in which each of the premises could be true and the conclusion could be true.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Syllogism 3</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of the students are tired. (All A are B)</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 xml:space="preserve">Some tired people are irritable. (Some </w:t>
      </w:r>
      <w:proofErr w:type="spellStart"/>
      <w:r>
        <w:rPr>
          <w:rFonts w:ascii="Cambria" w:hAnsi="Cambria"/>
          <w:color w:val="575757"/>
          <w:sz w:val="27"/>
          <w:szCs w:val="27"/>
        </w:rPr>
        <w:t>C are</w:t>
      </w:r>
      <w:proofErr w:type="spellEnd"/>
      <w:r>
        <w:rPr>
          <w:rFonts w:ascii="Cambria" w:hAnsi="Cambria"/>
          <w:color w:val="575757"/>
          <w:sz w:val="27"/>
          <w:szCs w:val="27"/>
        </w:rPr>
        <w:t xml:space="preserve"> D)</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Some of the students are irritable. (Some A are 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10" w:name="PageEnd_405"/>
      <w:bookmarkEnd w:id="10"/>
      <w:r>
        <w:rPr>
          <w:rFonts w:ascii="Cambria" w:hAnsi="Cambria"/>
          <w:color w:val="575757"/>
          <w:sz w:val="27"/>
          <w:szCs w:val="27"/>
        </w:rPr>
        <w:t>You may have found that this syllogism is more difficult than Syllogisms 1 and 2 because two of the statements start with </w:t>
      </w:r>
      <w:r>
        <w:rPr>
          <w:rStyle w:val="Emphasis"/>
          <w:rFonts w:ascii="Cambria" w:hAnsi="Cambria"/>
          <w:color w:val="575757"/>
          <w:sz w:val="27"/>
          <w:szCs w:val="27"/>
        </w:rPr>
        <w:t>Some</w:t>
      </w:r>
      <w:r>
        <w:rPr>
          <w:rFonts w:ascii="Cambria" w:hAnsi="Cambria"/>
          <w:color w:val="575757"/>
          <w:sz w:val="27"/>
          <w:szCs w:val="27"/>
        </w:rPr>
        <w:t xml:space="preserve">. This syllogism is not valid—the conclusion does not follow from the two premises. Students often have a hard time accepting this. After all, they probably know tired and irritable students (maybe including themselves, especially around exam time), and students are people, all of which suggests that it is possible that some students are irritable. One way to appreciate that the conclusion doesn’t logically follow from the premises is to consider Syllogism 4, in which the wording is </w:t>
      </w:r>
      <w:proofErr w:type="gramStart"/>
      <w:r>
        <w:rPr>
          <w:rFonts w:ascii="Cambria" w:hAnsi="Cambria"/>
          <w:color w:val="575757"/>
          <w:sz w:val="27"/>
          <w:szCs w:val="27"/>
        </w:rPr>
        <w:t>different</w:t>
      </w:r>
      <w:proofErr w:type="gramEnd"/>
      <w:r>
        <w:rPr>
          <w:rFonts w:ascii="Cambria" w:hAnsi="Cambria"/>
          <w:color w:val="575757"/>
          <w:sz w:val="27"/>
          <w:szCs w:val="27"/>
        </w:rPr>
        <w:t xml:space="preserve"> but the form is the same.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lastRenderedPageBreak/>
        <w:t>Syllogism 4</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of the students live in Tucson. (All A are B)</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 xml:space="preserve">Some people who live in Tucson are millionaires. (Some </w:t>
      </w:r>
      <w:proofErr w:type="spellStart"/>
      <w:r>
        <w:rPr>
          <w:rFonts w:ascii="Cambria" w:hAnsi="Cambria"/>
          <w:color w:val="575757"/>
          <w:sz w:val="27"/>
          <w:szCs w:val="27"/>
        </w:rPr>
        <w:t>C are</w:t>
      </w:r>
      <w:proofErr w:type="spellEnd"/>
      <w:r>
        <w:rPr>
          <w:rFonts w:ascii="Cambria" w:hAnsi="Cambria"/>
          <w:color w:val="575757"/>
          <w:sz w:val="27"/>
          <w:szCs w:val="27"/>
        </w:rPr>
        <w:t xml:space="preserve"> D)</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Some of the students are millionaires. (Some A are 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Using this new wording, while keeping the form the same, makes it easier to see that the people in the second premise do not have to include students. I happen to know, from living in Tucson myself, that most students do not live in the same part of town as the millionaires. Of course, there could be some millionaire students on campus, but we can’t say for sure. It is, in fact, </w:t>
      </w:r>
      <w:r>
        <w:rPr>
          <w:rStyle w:val="Emphasis"/>
          <w:rFonts w:ascii="Cambria" w:hAnsi="Cambria"/>
          <w:color w:val="575757"/>
          <w:sz w:val="27"/>
          <w:szCs w:val="27"/>
        </w:rPr>
        <w:t>possible</w:t>
      </w:r>
      <w:r>
        <w:rPr>
          <w:rFonts w:ascii="Cambria" w:hAnsi="Cambria"/>
          <w:color w:val="575757"/>
          <w:sz w:val="27"/>
          <w:szCs w:val="27"/>
        </w:rPr>
        <w:t> that no students are millionaires.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reason that people think Syllogism 3 is valid can be traced to the </w:t>
      </w:r>
      <w:hyperlink r:id="rId25" w:history="1">
        <w:r>
          <w:rPr>
            <w:rStyle w:val="primaryterm"/>
            <w:rFonts w:ascii="Cambria" w:hAnsi="Cambria"/>
            <w:b/>
            <w:bCs/>
            <w:color w:val="0081BC"/>
            <w:sz w:val="27"/>
            <w:szCs w:val="27"/>
          </w:rPr>
          <w:t>belief bias</w:t>
        </w:r>
      </w:hyperlink>
      <w:r>
        <w:rPr>
          <w:rFonts w:ascii="Cambria" w:hAnsi="Cambria"/>
          <w:color w:val="575757"/>
          <w:sz w:val="27"/>
          <w:szCs w:val="27"/>
        </w:rPr>
        <w:t>—the tendency to think a syllogism is valid if its conclusion is believable. For Syllogism 3, the idea that some students are irritable is believable. But when we change the wording to create Syllogism 4, the new conclusion, “Some of the students are millionaires,” isn’t as believable. Thus, the belief bias is less likely to operate for Syllogism 4. The belief bias also works the other way, as in valid Syllogism 2, in which an unbelievable conclusion makes it more likely the syllogism will be considered invalid.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hyperlink r:id="rId26" w:history="1">
        <w:r>
          <w:rPr>
            <w:rStyle w:val="Hyperlink"/>
            <w:rFonts w:ascii="Cambria" w:hAnsi="Cambria"/>
            <w:color w:val="007DB8"/>
            <w:sz w:val="27"/>
            <w:szCs w:val="27"/>
          </w:rPr>
          <w:t>Figure 13.2</w:t>
        </w:r>
      </w:hyperlink>
      <w:r>
        <w:rPr>
          <w:rFonts w:ascii="Cambria" w:hAnsi="Cambria"/>
          <w:color w:val="575757"/>
          <w:sz w:val="27"/>
          <w:szCs w:val="27"/>
        </w:rPr>
        <w:t xml:space="preserve"> shows the results of an experiment in which participants read valid and invalid syllogisms that had either believable or unbelievable conclusions (Evans et al., </w:t>
      </w:r>
      <w:proofErr w:type="gramStart"/>
      <w:r>
        <w:rPr>
          <w:rFonts w:ascii="Cambria" w:hAnsi="Cambria"/>
          <w:color w:val="575757"/>
          <w:sz w:val="27"/>
          <w:szCs w:val="27"/>
        </w:rPr>
        <w:t>1983;</w:t>
      </w:r>
      <w:r>
        <w:rPr>
          <w:rStyle w:val="citation"/>
          <w:rFonts w:ascii="Cambria" w:hAnsi="Cambria"/>
          <w:color w:val="575757"/>
          <w:sz w:val="27"/>
          <w:szCs w:val="27"/>
        </w:rPr>
        <w:t>Morley</w:t>
      </w:r>
      <w:proofErr w:type="gramEnd"/>
      <w:r>
        <w:rPr>
          <w:rStyle w:val="citation"/>
          <w:rFonts w:ascii="Cambria" w:hAnsi="Cambria"/>
          <w:color w:val="575757"/>
          <w:sz w:val="27"/>
          <w:szCs w:val="27"/>
        </w:rPr>
        <w:t xml:space="preserve"> et al., 2004</w:t>
      </w:r>
      <w:r>
        <w:rPr>
          <w:rFonts w:ascii="Cambria" w:hAnsi="Cambria"/>
          <w:color w:val="575757"/>
          <w:sz w:val="27"/>
          <w:szCs w:val="27"/>
        </w:rPr>
        <w:t>). The participants’ task was to indicate whether the conclusion was valid. The left pair of bars illustrates the belief bias; when the syllogism was valid, participants accepted its conclusion 80 percent of the time if it was believable but only 56 percent of the time if it was unbelievable. But the most interesting result is on the right, which shows that invalid syllogisms that had believable conclusions were judged as valid 71 percent of the time. The belief bias therefore can cause faulty reasoning to be accepted as valid, especially if the conclusion of an invalid syllogism is believable.</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lastRenderedPageBreak/>
        <w:t>Figure </w:t>
      </w:r>
      <w:r>
        <w:rPr>
          <w:rStyle w:val="mediafigurenumber"/>
          <w:rFonts w:ascii="Tahoma" w:hAnsi="Tahoma" w:cs="Tahoma"/>
          <w:b/>
          <w:bCs/>
          <w:color w:val="535957"/>
          <w:sz w:val="31"/>
          <w:szCs w:val="31"/>
          <w:shd w:val="clear" w:color="auto" w:fill="DAD9E1"/>
        </w:rPr>
        <w:t>13.2</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The results of the Evans et al. (1983) experiment that demonstrated the effect of belief bias in judging the validity of syllogisms. The left pair of bars indicates that a valid syllogism with an unbelievable conclusion is less likely to be judged as valid than is a valid syllogism with a believable conclusion. The right pair of bars indicates that the tendency to judge an invalid syllogism as valid is high if the conclusion is believable.</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Evans et al., 1983)</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If you’ve decided at this point that it is not easy to judge the validity of a syllogism, you’re right. Unfortunately, there is no easy procedure to determine validity or lack of validity, especially for complex syllogisms. The main message to take away from our discussion is that “good reasoning” and “truth” are not the same thing, and this can have important implications for examples of reasoning that you might encounter. Consider, for example, the following statement:</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Listen to me. I know for a fact that all of the members of Congress from New York are against that new tax law. And I also know that some members of Congress who are against that tax law are taking money from special interest groups. What this means, as far as I can tell, is that some of the members of Congress from New York are taking money from special interest groups.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What is wrong with this argument? You can answer this yourself by putting the argument into syllogism form and then using the A, B, C, D notation. When you do this, you will see that the resulting syllogism has exactly the same form as Syllogism 3, and as with Syllogism 3, it doesn’t logically follow: just because all of the members of Congress from New York are against the new tax, and some members of Congress who are against the new tax law are taking money from special interest groups, this doesn’t mean that some</w:t>
      </w:r>
      <w:bookmarkStart w:id="11" w:name="PageEnd_406"/>
      <w:bookmarkEnd w:id="11"/>
      <w:r>
        <w:rPr>
          <w:rFonts w:ascii="Cambria" w:hAnsi="Cambria"/>
          <w:color w:val="575757"/>
          <w:sz w:val="27"/>
          <w:szCs w:val="27"/>
        </w:rPr>
        <w:t xml:space="preserve"> members of Congress from New York are taking money from special interest groups. Thus, even though syllogisms may seem “academic,” people often use syllogisms to “prove” their point, often without realizing that their reasoning is sometimes invalid. It is therefore important to realize that it is easy to fall prey to the belief bias, and that even </w:t>
      </w:r>
      <w:r>
        <w:rPr>
          <w:rFonts w:ascii="Cambria" w:hAnsi="Cambria"/>
          <w:color w:val="575757"/>
          <w:sz w:val="27"/>
          <w:szCs w:val="27"/>
        </w:rPr>
        <w:lastRenderedPageBreak/>
        <w:t>conclusions that might sound true are not necessarily the result of good reasoning.</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Now that we have discussed how to judge the conclusions reached by deductive reasoning, we can think back to the first part of the chapter and compare this to judgments reached by inductive reasoning. In inductive reasoning, we saw that conclusions reached are </w:t>
      </w:r>
      <w:r>
        <w:rPr>
          <w:rStyle w:val="Emphasis"/>
          <w:rFonts w:ascii="Cambria" w:hAnsi="Cambria"/>
          <w:color w:val="575757"/>
          <w:sz w:val="27"/>
          <w:szCs w:val="27"/>
        </w:rPr>
        <w:t>probably true</w:t>
      </w:r>
      <w:r>
        <w:rPr>
          <w:rFonts w:ascii="Cambria" w:hAnsi="Cambria"/>
          <w:color w:val="575757"/>
          <w:sz w:val="27"/>
          <w:szCs w:val="27"/>
        </w:rPr>
        <w:t>, but not </w:t>
      </w:r>
      <w:r>
        <w:rPr>
          <w:rStyle w:val="Emphasis"/>
          <w:rFonts w:ascii="Cambria" w:hAnsi="Cambria"/>
          <w:color w:val="575757"/>
          <w:sz w:val="27"/>
          <w:szCs w:val="27"/>
        </w:rPr>
        <w:t>definitely true</w:t>
      </w:r>
      <w:r>
        <w:rPr>
          <w:rFonts w:ascii="Cambria" w:hAnsi="Cambria"/>
          <w:color w:val="575757"/>
          <w:sz w:val="27"/>
          <w:szCs w:val="27"/>
        </w:rPr>
        <w:t>, because the conclusions drawn are based on generalizations from specific observations that are not always representative of the broader principle or population. For example, our initial conclusion about all crows being black, which was based on observations made in Pittsburgh and Washington, DC, turned out to be wrong when we expanded our observations to Europe and Asia. In deductive reasoning, the conclusions reached can be </w:t>
      </w:r>
      <w:r>
        <w:rPr>
          <w:rStyle w:val="Emphasis"/>
          <w:rFonts w:ascii="Cambria" w:hAnsi="Cambria"/>
          <w:color w:val="575757"/>
          <w:sz w:val="27"/>
          <w:szCs w:val="27"/>
        </w:rPr>
        <w:t>definitely</w:t>
      </w:r>
      <w:r>
        <w:rPr>
          <w:rFonts w:ascii="Cambria" w:hAnsi="Cambria"/>
          <w:color w:val="575757"/>
          <w:sz w:val="27"/>
          <w:szCs w:val="27"/>
        </w:rPr>
        <w:t> true, but </w:t>
      </w:r>
      <w:r>
        <w:rPr>
          <w:rStyle w:val="Emphasis"/>
          <w:rFonts w:ascii="Cambria" w:hAnsi="Cambria"/>
          <w:color w:val="575757"/>
          <w:sz w:val="27"/>
          <w:szCs w:val="27"/>
        </w:rPr>
        <w:t>only</w:t>
      </w:r>
      <w:r>
        <w:rPr>
          <w:rFonts w:ascii="Cambria" w:hAnsi="Cambria"/>
          <w:color w:val="575757"/>
          <w:sz w:val="27"/>
          <w:szCs w:val="27"/>
        </w:rPr>
        <w:t> if both premises are definitely true </w:t>
      </w:r>
      <w:r>
        <w:rPr>
          <w:rStyle w:val="Emphasis"/>
          <w:rFonts w:ascii="Cambria" w:hAnsi="Cambria"/>
          <w:color w:val="575757"/>
          <w:sz w:val="27"/>
          <w:szCs w:val="27"/>
        </w:rPr>
        <w:t>and</w:t>
      </w:r>
      <w:r>
        <w:rPr>
          <w:rFonts w:ascii="Cambria" w:hAnsi="Cambria"/>
          <w:color w:val="575757"/>
          <w:sz w:val="27"/>
          <w:szCs w:val="27"/>
        </w:rPr>
        <w:t> if the form of the syllogism is valid. In this way, there can be more certainty in the conclusions drawn by deductive reasoning than inductive reasoning. However, as we’ve seen in this section, judging the truth and validity of syllogisms is not always easy. Luckily, as we’ll discuss next, there are methods that we can use to help us.</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13-2b</w:t>
      </w:r>
      <w:r>
        <w:rPr>
          <w:rStyle w:val="headingtext"/>
          <w:rFonts w:ascii="Tahoma" w:hAnsi="Tahoma" w:cs="Tahoma"/>
          <w:color w:val="DF7300"/>
          <w:sz w:val="41"/>
          <w:szCs w:val="41"/>
        </w:rPr>
        <w:t>Mental Models of Deductive Reasoning</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To aid in judging the validity of syllogisms, Phillip Johnson-Laird (1999a, 1999b) has suggested an approach called the </w:t>
      </w:r>
      <w:hyperlink r:id="rId27" w:history="1">
        <w:r>
          <w:rPr>
            <w:rStyle w:val="primaryterm"/>
            <w:rFonts w:ascii="Cambria" w:hAnsi="Cambria"/>
            <w:b/>
            <w:bCs/>
            <w:color w:val="0081BC"/>
            <w:sz w:val="27"/>
            <w:szCs w:val="27"/>
          </w:rPr>
          <w:t>mental model approach</w:t>
        </w:r>
      </w:hyperlink>
      <w:r>
        <w:rPr>
          <w:rFonts w:ascii="Cambria" w:hAnsi="Cambria"/>
          <w:color w:val="575757"/>
          <w:sz w:val="27"/>
          <w:szCs w:val="27"/>
        </w:rPr>
        <w:t>. To illustrate the use of a mental model, Johnson-Laird (1995) posed a problem similar to this one (try it):</w:t>
      </w:r>
    </w:p>
    <w:p w:rsidR="00670C65" w:rsidRDefault="00670C65" w:rsidP="00670C65">
      <w:pPr>
        <w:pStyle w:val="NormalWeb"/>
        <w:shd w:val="clear" w:color="auto" w:fill="F9F9F9"/>
        <w:spacing w:before="0" w:beforeAutospacing="0" w:after="0" w:afterAutospacing="0"/>
        <w:rPr>
          <w:rFonts w:ascii="Cambria" w:hAnsi="Cambria"/>
          <w:color w:val="575757"/>
          <w:sz w:val="27"/>
          <w:szCs w:val="27"/>
        </w:rPr>
      </w:pPr>
      <w:r>
        <w:rPr>
          <w:rFonts w:ascii="Cambria" w:hAnsi="Cambria"/>
          <w:color w:val="575757"/>
          <w:sz w:val="27"/>
          <w:szCs w:val="27"/>
        </w:rPr>
        <w:t xml:space="preserve">On a pool table, there is a black ball directly above the cue ball. The green ball is on the right side of the cue ball, and there is a red ball between them. If I move so the red ball is between me and the black ball, the cue ball is to </w:t>
      </w:r>
      <w:proofErr w:type="spellStart"/>
      <w:r>
        <w:rPr>
          <w:rFonts w:ascii="Cambria" w:hAnsi="Cambria"/>
          <w:color w:val="575757"/>
          <w:sz w:val="27"/>
          <w:szCs w:val="27"/>
        </w:rPr>
        <w:t>theof</w:t>
      </w:r>
      <w:proofErr w:type="spellEnd"/>
      <w:r>
        <w:rPr>
          <w:rFonts w:ascii="Cambria" w:hAnsi="Cambria"/>
          <w:color w:val="575757"/>
          <w:sz w:val="27"/>
          <w:szCs w:val="27"/>
        </w:rPr>
        <w:t xml:space="preserve"> my line of sight.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How did you go about solving this problem? Johnson-Laird points out that the problem can be solved by applying logical rules, but that most people solve it by imagining the way the balls are arranged on the pool table. The idea that people can imagine situations is the basis of Johnson-Laird’s proposal that people use mental models to solve deductive reasoning problems.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A </w:t>
      </w:r>
      <w:hyperlink r:id="rId28" w:history="1">
        <w:r>
          <w:rPr>
            <w:rStyle w:val="primaryterm"/>
            <w:rFonts w:ascii="Cambria" w:hAnsi="Cambria"/>
            <w:b/>
            <w:bCs/>
            <w:color w:val="0081BC"/>
            <w:sz w:val="27"/>
            <w:szCs w:val="27"/>
          </w:rPr>
          <w:t>mental model</w:t>
        </w:r>
      </w:hyperlink>
      <w:r>
        <w:rPr>
          <w:rFonts w:ascii="Cambria" w:hAnsi="Cambria"/>
          <w:color w:val="575757"/>
          <w:sz w:val="27"/>
          <w:szCs w:val="27"/>
        </w:rPr>
        <w:t> is a specific situation represented in a person’s mind that can be used to help determine the validity of syllogisms in deductive reasoning. The basic principle behind mental models is that people create a model, or an imagined representation of the situation, for a reasoning problem. They generate a tentative conclusion based on this model and then look for exceptions that might falsify the model. If they do find an exception, they modify the model. Eventually, if they can find no more exceptions and their current model matches the conclusion, they can conclude that the syllogism is valid. We can illustrate how this would work for a categorical syllogism by using the following example (from Johnson-Laird, 1999b):</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None of the artists are beekeepers.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All of the beekeepers are chemists.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Some of the chemists are not artists.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To help us create a model based on this syllogism, we will imagine that we are visiting a meeting of the Artists, Beekeepers, and Chemists Society (the ABC Society, for short). We know that everyone who is eligible to be a member must be an artist, a beekeeper, or a chemist, and that they must also abide by the following rules, which correspond to the first two premises of the syllogism above:</w:t>
      </w:r>
    </w:p>
    <w:p w:rsidR="00670C65" w:rsidRDefault="00670C65" w:rsidP="00670C65">
      <w:pPr>
        <w:pStyle w:val="NormalWeb"/>
        <w:numPr>
          <w:ilvl w:val="0"/>
          <w:numId w:val="5"/>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Rule 1: No artists can be beekeepers.</w:t>
      </w:r>
    </w:p>
    <w:p w:rsidR="00670C65" w:rsidRDefault="00670C65" w:rsidP="00670C65">
      <w:pPr>
        <w:pStyle w:val="NormalWeb"/>
        <w:numPr>
          <w:ilvl w:val="0"/>
          <w:numId w:val="5"/>
        </w:numPr>
        <w:shd w:val="clear" w:color="auto" w:fill="FFFFFF"/>
        <w:spacing w:before="0" w:beforeAutospacing="0" w:after="0" w:afterAutospacing="0"/>
        <w:ind w:left="975" w:right="975"/>
        <w:rPr>
          <w:rFonts w:ascii="Cambria" w:hAnsi="Cambria"/>
          <w:color w:val="575757"/>
          <w:sz w:val="27"/>
          <w:szCs w:val="27"/>
        </w:rPr>
      </w:pPr>
      <w:r>
        <w:rPr>
          <w:rFonts w:ascii="Cambria" w:hAnsi="Cambria"/>
          <w:color w:val="575757"/>
          <w:sz w:val="27"/>
          <w:szCs w:val="27"/>
        </w:rPr>
        <w:t>Rule 2: All of the beekeepers must be chemists.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12" w:name="PageEnd_407"/>
      <w:bookmarkEnd w:id="12"/>
      <w:r>
        <w:rPr>
          <w:rFonts w:ascii="Cambria" w:hAnsi="Cambria"/>
          <w:color w:val="575757"/>
          <w:sz w:val="27"/>
          <w:szCs w:val="27"/>
        </w:rPr>
        <w:t>Our task is made easier because we can tell what professions people have by what hats they are wearing. As shown in </w:t>
      </w:r>
      <w:hyperlink r:id="rId29" w:history="1">
        <w:r>
          <w:rPr>
            <w:rStyle w:val="Hyperlink"/>
            <w:rFonts w:ascii="Cambria" w:hAnsi="Cambria"/>
            <w:color w:val="007DB8"/>
            <w:sz w:val="27"/>
            <w:szCs w:val="27"/>
          </w:rPr>
          <w:t>Figure 13.3</w:t>
        </w:r>
      </w:hyperlink>
      <w:r>
        <w:rPr>
          <w:rFonts w:ascii="Cambria" w:hAnsi="Cambria"/>
          <w:color w:val="575757"/>
          <w:sz w:val="27"/>
          <w:szCs w:val="27"/>
        </w:rPr>
        <w:t>, artists are wearing berets, beekeepers are wearing protective beekeepers’ veils, and chemists are wearing molecule hats. According to the rules, no artists can be beekeepers, so people wearing berets can never wear beekeepers’ veils. Also, the fact that all beekeepers must be chemists means that everyone wearing a beekeeper’s veil must also be wearing a molecule hat.</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13.3</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lastRenderedPageBreak/>
        <w:t>Types of hats worn by artists, beekeepers, and chemists attending the ABC convention.</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In considering just the two rules and these imaginary hats, we can create a mental model of the premises and try to draw our own conclusions about what this means for the connection between chemists and artists. At the ABC meeting, let’s say we meet Alice and see that she is an artist because of her beret, and we also notice she is following rule 1: no artists can be beekeepers (</w:t>
      </w:r>
      <w:hyperlink r:id="rId30" w:history="1">
        <w:r>
          <w:rPr>
            <w:rStyle w:val="Hyperlink"/>
            <w:rFonts w:ascii="Cambria" w:hAnsi="Cambria"/>
            <w:color w:val="007DB8"/>
            <w:sz w:val="27"/>
            <w:szCs w:val="27"/>
          </w:rPr>
          <w:t>Figure 13.4a</w:t>
        </w:r>
      </w:hyperlink>
      <w:r>
        <w:rPr>
          <w:rFonts w:ascii="Cambria" w:hAnsi="Cambria"/>
          <w:color w:val="575757"/>
          <w:sz w:val="27"/>
          <w:szCs w:val="27"/>
        </w:rPr>
        <w:t xml:space="preserve">). Then we meet </w:t>
      </w:r>
      <w:proofErr w:type="spellStart"/>
      <w:r>
        <w:rPr>
          <w:rFonts w:ascii="Cambria" w:hAnsi="Cambria"/>
          <w:color w:val="575757"/>
          <w:sz w:val="27"/>
          <w:szCs w:val="27"/>
        </w:rPr>
        <w:t>Beechem</w:t>
      </w:r>
      <w:proofErr w:type="spellEnd"/>
      <w:r>
        <w:rPr>
          <w:rFonts w:ascii="Cambria" w:hAnsi="Cambria"/>
          <w:color w:val="575757"/>
          <w:sz w:val="27"/>
          <w:szCs w:val="27"/>
        </w:rPr>
        <w:t>, who is wearing a combination beekeeper-molecule getup, in line with rule 2: all beekeepers must be chemists (</w:t>
      </w:r>
      <w:hyperlink r:id="rId31" w:history="1">
        <w:r>
          <w:rPr>
            <w:rStyle w:val="Hyperlink"/>
            <w:rFonts w:ascii="Cambria" w:hAnsi="Cambria"/>
            <w:color w:val="007DB8"/>
            <w:sz w:val="27"/>
            <w:szCs w:val="27"/>
          </w:rPr>
          <w:t>Figure 13.4b</w:t>
        </w:r>
      </w:hyperlink>
      <w:r>
        <w:rPr>
          <w:rFonts w:ascii="Cambria" w:hAnsi="Cambria"/>
          <w:color w:val="575757"/>
          <w:sz w:val="27"/>
          <w:szCs w:val="27"/>
        </w:rPr>
        <w:t xml:space="preserve">). Remember that the conclusion, “some of the chemists are not artists” has to do with chemists and artists. Based on our observation of the artist Alice (who is not a chemist) and chemist </w:t>
      </w:r>
      <w:proofErr w:type="spellStart"/>
      <w:r>
        <w:rPr>
          <w:rFonts w:ascii="Cambria" w:hAnsi="Cambria"/>
          <w:color w:val="575757"/>
          <w:sz w:val="27"/>
          <w:szCs w:val="27"/>
        </w:rPr>
        <w:t>Beechem</w:t>
      </w:r>
      <w:proofErr w:type="spellEnd"/>
      <w:r>
        <w:rPr>
          <w:rFonts w:ascii="Cambria" w:hAnsi="Cambria"/>
          <w:color w:val="575757"/>
          <w:sz w:val="27"/>
          <w:szCs w:val="27"/>
        </w:rPr>
        <w:t xml:space="preserve"> (who is not an artist), we can formulate our first model: </w:t>
      </w:r>
      <w:r>
        <w:rPr>
          <w:rStyle w:val="Emphasis"/>
          <w:rFonts w:ascii="Cambria" w:hAnsi="Cambria"/>
          <w:color w:val="575757"/>
          <w:sz w:val="27"/>
          <w:szCs w:val="27"/>
        </w:rPr>
        <w:t>No chemists are artists</w:t>
      </w:r>
      <w:r>
        <w:rPr>
          <w:rFonts w:ascii="Cambria" w:hAnsi="Cambria"/>
          <w:color w:val="575757"/>
          <w:sz w:val="27"/>
          <w:szCs w:val="27"/>
        </w:rPr>
        <w:t xml:space="preserve">. According to this model, no one wearing a beret (like Alice) should be wearing a molecule hat and no one wearing molecule hat (like </w:t>
      </w:r>
      <w:proofErr w:type="spellStart"/>
      <w:r>
        <w:rPr>
          <w:rFonts w:ascii="Cambria" w:hAnsi="Cambria"/>
          <w:color w:val="575757"/>
          <w:sz w:val="27"/>
          <w:szCs w:val="27"/>
        </w:rPr>
        <w:t>Beechem</w:t>
      </w:r>
      <w:proofErr w:type="spellEnd"/>
      <w:r>
        <w:rPr>
          <w:rFonts w:ascii="Cambria" w:hAnsi="Cambria"/>
          <w:color w:val="575757"/>
          <w:sz w:val="27"/>
          <w:szCs w:val="27"/>
        </w:rPr>
        <w:t>) should also be wearing a beret.</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13.4</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Different types of people attending the ABC convention, all wearing hats that obey the rules for the syllogism that has the conclusion “Some of the chemists are not artists.” This procedure, which is based on the mental </w:t>
      </w:r>
      <w:proofErr w:type="gramStart"/>
      <w:r>
        <w:rPr>
          <w:rFonts w:ascii="Tahoma" w:hAnsi="Tahoma" w:cs="Tahoma"/>
          <w:color w:val="575757"/>
          <w:sz w:val="29"/>
          <w:szCs w:val="29"/>
        </w:rPr>
        <w:t>models</w:t>
      </w:r>
      <w:proofErr w:type="gramEnd"/>
      <w:r>
        <w:rPr>
          <w:rFonts w:ascii="Tahoma" w:hAnsi="Tahoma" w:cs="Tahoma"/>
          <w:color w:val="575757"/>
          <w:sz w:val="29"/>
          <w:szCs w:val="29"/>
        </w:rPr>
        <w:t xml:space="preserve"> approach to reasoning, indicates that the syllogism is valid, because case (c) is a chemist who is an artist, but (b) and (d) are chemists who are not artists.</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But we aren’t through, because once we have proposed our first model, we need to look for possible exceptions to the model. Specifically, to falsify this model, we would have to find chemists who are artists, without breaking the two rules. So, we mill around in the crowd until we meet artist </w:t>
      </w:r>
      <w:proofErr w:type="spellStart"/>
      <w:r>
        <w:rPr>
          <w:rFonts w:ascii="Cambria" w:hAnsi="Cambria"/>
          <w:color w:val="575757"/>
          <w:sz w:val="27"/>
          <w:szCs w:val="27"/>
        </w:rPr>
        <w:t>Cyart</w:t>
      </w:r>
      <w:proofErr w:type="spellEnd"/>
      <w:r>
        <w:rPr>
          <w:rFonts w:ascii="Cambria" w:hAnsi="Cambria"/>
          <w:color w:val="575757"/>
          <w:sz w:val="27"/>
          <w:szCs w:val="27"/>
        </w:rPr>
        <w:t>, who is both an artist and chemist as indicated by his beret and molecule hat (</w:t>
      </w:r>
      <w:hyperlink r:id="rId32" w:history="1">
        <w:r>
          <w:rPr>
            <w:rStyle w:val="Hyperlink"/>
            <w:rFonts w:ascii="Cambria" w:hAnsi="Cambria"/>
            <w:color w:val="007DB8"/>
            <w:sz w:val="27"/>
            <w:szCs w:val="27"/>
          </w:rPr>
          <w:t>Figure 13.4c</w:t>
        </w:r>
      </w:hyperlink>
      <w:r>
        <w:rPr>
          <w:rFonts w:ascii="Cambria" w:hAnsi="Cambria"/>
          <w:color w:val="575757"/>
          <w:sz w:val="27"/>
          <w:szCs w:val="27"/>
        </w:rPr>
        <w:t xml:space="preserve">). We note that he is not violating the two rules, so we now know that our first model, “No chemists are artists,” </w:t>
      </w:r>
      <w:r>
        <w:rPr>
          <w:rFonts w:ascii="Cambria" w:hAnsi="Cambria"/>
          <w:color w:val="575757"/>
          <w:sz w:val="27"/>
          <w:szCs w:val="27"/>
        </w:rPr>
        <w:lastRenderedPageBreak/>
        <w:t xml:space="preserve">cannot be true, and, thinking back to </w:t>
      </w:r>
      <w:proofErr w:type="spellStart"/>
      <w:r>
        <w:rPr>
          <w:rFonts w:ascii="Cambria" w:hAnsi="Cambria"/>
          <w:color w:val="575757"/>
          <w:sz w:val="27"/>
          <w:szCs w:val="27"/>
        </w:rPr>
        <w:t>Beechem</w:t>
      </w:r>
      <w:proofErr w:type="spellEnd"/>
      <w:r>
        <w:rPr>
          <w:rFonts w:ascii="Cambria" w:hAnsi="Cambria"/>
          <w:color w:val="575757"/>
          <w:sz w:val="27"/>
          <w:szCs w:val="27"/>
        </w:rPr>
        <w:t>, the beekeeper-chemist, we revise our model to “Some of the chemists are not artists.”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We then look for an exception that falsifies our new model, but find only Clara, who is only a chemist, which is also allowed by the rules (</w:t>
      </w:r>
      <w:hyperlink r:id="rId33" w:history="1">
        <w:r>
          <w:rPr>
            <w:rStyle w:val="Hyperlink"/>
            <w:rFonts w:ascii="Cambria" w:hAnsi="Cambria"/>
            <w:color w:val="007DB8"/>
            <w:sz w:val="27"/>
            <w:szCs w:val="27"/>
          </w:rPr>
          <w:t>Figure 13.4d</w:t>
        </w:r>
      </w:hyperlink>
      <w:r>
        <w:rPr>
          <w:rFonts w:ascii="Cambria" w:hAnsi="Cambria"/>
          <w:color w:val="575757"/>
          <w:sz w:val="27"/>
          <w:szCs w:val="27"/>
        </w:rPr>
        <w:t>). This case does not refute our new model, and after more searching, we can’t find anyone else in the room whose existence would refute this syllogism’s conclusion, so we accept it. This example illustrates the basic principle behind the mental model theory: A conclusion is valid only if it cannot be refuted by any model of the premises.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mental model theory is attractive because it can be used to assess a syllogism’s validity without training in the rules of logic and because it makes predictions that can be tested. For example, the theory predicts that syllogisms that require more complex models will be more difficult to solve, and this prediction has been confirmed in experiments (</w:t>
      </w:r>
      <w:proofErr w:type="spellStart"/>
      <w:r>
        <w:rPr>
          <w:rFonts w:ascii="Cambria" w:hAnsi="Cambria"/>
          <w:color w:val="575757"/>
          <w:sz w:val="27"/>
          <w:szCs w:val="27"/>
        </w:rPr>
        <w:t>Buciarelli</w:t>
      </w:r>
      <w:proofErr w:type="spellEnd"/>
      <w:r>
        <w:rPr>
          <w:rFonts w:ascii="Cambria" w:hAnsi="Cambria"/>
          <w:color w:val="575757"/>
          <w:sz w:val="27"/>
          <w:szCs w:val="27"/>
        </w:rPr>
        <w:t xml:space="preserve"> &amp; Johnson-Laird, 1999).</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There are also other proposals about how people might assess validity in syllogisms (see </w:t>
      </w:r>
      <w:r>
        <w:rPr>
          <w:rStyle w:val="citation"/>
          <w:rFonts w:ascii="Cambria" w:hAnsi="Cambria"/>
          <w:color w:val="575757"/>
          <w:sz w:val="27"/>
          <w:szCs w:val="27"/>
        </w:rPr>
        <w:t>Rips, 1995</w:t>
      </w:r>
      <w:r>
        <w:rPr>
          <w:rFonts w:ascii="Cambria" w:hAnsi="Cambria"/>
          <w:color w:val="575757"/>
          <w:sz w:val="27"/>
          <w:szCs w:val="27"/>
        </w:rPr>
        <w:t>, </w:t>
      </w:r>
      <w:r>
        <w:rPr>
          <w:rStyle w:val="citation"/>
          <w:rFonts w:ascii="Cambria" w:hAnsi="Cambria"/>
          <w:color w:val="575757"/>
          <w:sz w:val="27"/>
          <w:szCs w:val="27"/>
        </w:rPr>
        <w:t>2002</w:t>
      </w:r>
      <w:r>
        <w:rPr>
          <w:rFonts w:ascii="Cambria" w:hAnsi="Cambria"/>
          <w:color w:val="575757"/>
          <w:sz w:val="27"/>
          <w:szCs w:val="27"/>
        </w:rPr>
        <w:t xml:space="preserve">), but there isn’t agreement among researchers regarding the correct approach. We have presented the mental model theory because it is supported by the results of a number of experiments </w:t>
      </w:r>
      <w:proofErr w:type="spellStart"/>
      <w:r>
        <w:rPr>
          <w:rFonts w:ascii="Cambria" w:hAnsi="Cambria"/>
          <w:color w:val="575757"/>
          <w:sz w:val="27"/>
          <w:szCs w:val="27"/>
        </w:rPr>
        <w:t>and</w:t>
      </w:r>
      <w:bookmarkStart w:id="13" w:name="PageEnd_408"/>
      <w:bookmarkEnd w:id="13"/>
      <w:r>
        <w:rPr>
          <w:rFonts w:ascii="Cambria" w:hAnsi="Cambria"/>
          <w:color w:val="575757"/>
          <w:sz w:val="27"/>
          <w:szCs w:val="27"/>
        </w:rPr>
        <w:t>because</w:t>
      </w:r>
      <w:proofErr w:type="spellEnd"/>
      <w:r>
        <w:rPr>
          <w:rFonts w:ascii="Cambria" w:hAnsi="Cambria"/>
          <w:color w:val="575757"/>
          <w:sz w:val="27"/>
          <w:szCs w:val="27"/>
        </w:rPr>
        <w:t xml:space="preserve"> it is one of the models that is easiest to apply and explain. However, a number of challenges face researchers who are trying to determine how people evaluate syllogisms. These problems include the fact that people use a variety of different strategies in reasoning, and that some people are much better at solving syllogisms than others (</w:t>
      </w:r>
      <w:proofErr w:type="spellStart"/>
      <w:r>
        <w:rPr>
          <w:rFonts w:ascii="Cambria" w:hAnsi="Cambria"/>
          <w:color w:val="575757"/>
          <w:sz w:val="27"/>
          <w:szCs w:val="27"/>
        </w:rPr>
        <w:t>Buciarelli</w:t>
      </w:r>
      <w:proofErr w:type="spellEnd"/>
      <w:r>
        <w:rPr>
          <w:rFonts w:ascii="Cambria" w:hAnsi="Cambria"/>
          <w:color w:val="575757"/>
          <w:sz w:val="27"/>
          <w:szCs w:val="27"/>
        </w:rPr>
        <w:t xml:space="preserve"> &amp; Johnson-Laird, 1999). Thus, the question of how people go about determining validity in syllogisms remains to be answered.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But we aren’t through with syllogisms yet. In addition to categorical syllogisms, which have premises and conclusions that begin with </w:t>
      </w:r>
      <w:r>
        <w:rPr>
          <w:rStyle w:val="Emphasis"/>
          <w:rFonts w:ascii="Cambria" w:hAnsi="Cambria"/>
          <w:color w:val="575757"/>
          <w:sz w:val="27"/>
          <w:szCs w:val="27"/>
        </w:rPr>
        <w:t>All, Some</w:t>
      </w:r>
      <w:r>
        <w:rPr>
          <w:rFonts w:ascii="Cambria" w:hAnsi="Cambria"/>
          <w:color w:val="575757"/>
          <w:sz w:val="27"/>
          <w:szCs w:val="27"/>
        </w:rPr>
        <w:t>, or </w:t>
      </w:r>
      <w:r>
        <w:rPr>
          <w:rStyle w:val="Emphasis"/>
          <w:rFonts w:ascii="Cambria" w:hAnsi="Cambria"/>
          <w:color w:val="575757"/>
          <w:sz w:val="27"/>
          <w:szCs w:val="27"/>
        </w:rPr>
        <w:t>No</w:t>
      </w:r>
      <w:r>
        <w:rPr>
          <w:rFonts w:ascii="Cambria" w:hAnsi="Cambria"/>
          <w:color w:val="575757"/>
          <w:sz w:val="27"/>
          <w:szCs w:val="27"/>
        </w:rPr>
        <w:t>, there is another type of syllogism, called the </w:t>
      </w:r>
      <w:r>
        <w:rPr>
          <w:rStyle w:val="Emphasis"/>
          <w:rFonts w:ascii="Cambria" w:hAnsi="Cambria"/>
          <w:color w:val="575757"/>
          <w:sz w:val="27"/>
          <w:szCs w:val="27"/>
        </w:rPr>
        <w:t>conditional syllogism</w:t>
      </w:r>
      <w:r>
        <w:rPr>
          <w:rFonts w:ascii="Cambria" w:hAnsi="Cambria"/>
          <w:color w:val="575757"/>
          <w:sz w:val="27"/>
          <w:szCs w:val="27"/>
        </w:rPr>
        <w:t>, in which the first premise has the form “</w:t>
      </w:r>
      <w:r>
        <w:rPr>
          <w:rStyle w:val="Emphasis"/>
          <w:rFonts w:ascii="Cambria" w:hAnsi="Cambria"/>
          <w:color w:val="575757"/>
          <w:sz w:val="27"/>
          <w:szCs w:val="27"/>
        </w:rPr>
        <w:t>If</w:t>
      </w:r>
      <w:r>
        <w:rPr>
          <w:rFonts w:ascii="Cambria" w:hAnsi="Cambria"/>
          <w:color w:val="575757"/>
          <w:sz w:val="27"/>
          <w:szCs w:val="27"/>
        </w:rPr>
        <w:t> … </w:t>
      </w:r>
      <w:r>
        <w:rPr>
          <w:rStyle w:val="Emphasis"/>
          <w:rFonts w:ascii="Cambria" w:hAnsi="Cambria"/>
          <w:color w:val="575757"/>
          <w:sz w:val="27"/>
          <w:szCs w:val="27"/>
        </w:rPr>
        <w:t>then</w:t>
      </w:r>
      <w:r>
        <w:rPr>
          <w:rFonts w:ascii="Cambria" w:hAnsi="Cambria"/>
          <w:color w:val="575757"/>
          <w:sz w:val="27"/>
          <w:szCs w:val="27"/>
        </w:rPr>
        <w:t>.”</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13-2c</w:t>
      </w:r>
      <w:r>
        <w:rPr>
          <w:rStyle w:val="headingtext"/>
          <w:rFonts w:ascii="Tahoma" w:hAnsi="Tahoma" w:cs="Tahoma"/>
          <w:color w:val="DF7300"/>
          <w:sz w:val="41"/>
          <w:szCs w:val="41"/>
        </w:rPr>
        <w:t>Conditional Syllogisms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hyperlink r:id="rId34" w:history="1">
        <w:r>
          <w:rPr>
            <w:rStyle w:val="primaryterm"/>
            <w:rFonts w:ascii="Cambria" w:hAnsi="Cambria"/>
            <w:b/>
            <w:bCs/>
            <w:color w:val="0081BC"/>
            <w:sz w:val="27"/>
            <w:szCs w:val="27"/>
          </w:rPr>
          <w:t>Conditional syllogisms</w:t>
        </w:r>
      </w:hyperlink>
      <w:r>
        <w:rPr>
          <w:rFonts w:ascii="Cambria" w:hAnsi="Cambria"/>
          <w:color w:val="575757"/>
          <w:sz w:val="27"/>
          <w:szCs w:val="27"/>
        </w:rPr>
        <w:t> have two premises and a conclusion like categorical syllogisms, but the first premise has the form “If … then.” This kind of deductive reasoning is common in everyday life. For example, let’s say that you lent your friend Steve $20, but he has never paid you back. Knowing Steve, you might say to yourself that you knew this would happen. Stated in the form of a syllogism, your reasoning might look like this: </w:t>
      </w:r>
      <w:r>
        <w:rPr>
          <w:rStyle w:val="Emphasis"/>
          <w:rFonts w:ascii="Cambria" w:hAnsi="Cambria"/>
          <w:color w:val="575757"/>
          <w:sz w:val="27"/>
          <w:szCs w:val="27"/>
        </w:rPr>
        <w:t>If</w:t>
      </w:r>
      <w:r>
        <w:rPr>
          <w:rFonts w:ascii="Cambria" w:hAnsi="Cambria"/>
          <w:color w:val="575757"/>
          <w:sz w:val="27"/>
          <w:szCs w:val="27"/>
        </w:rPr>
        <w:t> I lend Steve $20, </w:t>
      </w:r>
      <w:r>
        <w:rPr>
          <w:rStyle w:val="Emphasis"/>
          <w:rFonts w:ascii="Cambria" w:hAnsi="Cambria"/>
          <w:color w:val="575757"/>
          <w:sz w:val="27"/>
          <w:szCs w:val="27"/>
        </w:rPr>
        <w:t>then</w:t>
      </w:r>
      <w:r>
        <w:rPr>
          <w:rFonts w:ascii="Cambria" w:hAnsi="Cambria"/>
          <w:color w:val="575757"/>
          <w:sz w:val="27"/>
          <w:szCs w:val="27"/>
        </w:rPr>
        <w:t> I won’t get it back. I lent Steve $20. Therefore, I won’t get my $20 back. As in categorical syllogisms, if both of the premises are true and the syllogism is valid, then the conclusion is definitely true. However, also like in categorical syllogisms, assessing a syllogism’s validity can be tricky depending on its form and content, as we’ll see in the following examples.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There are four major types of conditional syllogisms, which are listed in </w:t>
      </w:r>
      <w:hyperlink r:id="rId35" w:history="1">
        <w:r>
          <w:rPr>
            <w:rStyle w:val="Hyperlink"/>
            <w:rFonts w:ascii="Cambria" w:hAnsi="Cambria"/>
            <w:color w:val="007DB8"/>
            <w:sz w:val="27"/>
            <w:szCs w:val="27"/>
          </w:rPr>
          <w:t>Table 13.3</w:t>
        </w:r>
      </w:hyperlink>
      <w:r>
        <w:rPr>
          <w:rFonts w:ascii="Cambria" w:hAnsi="Cambria"/>
          <w:color w:val="575757"/>
          <w:sz w:val="27"/>
          <w:szCs w:val="27"/>
        </w:rPr>
        <w:t> in abstract form (using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Conditional syllogisms typically use the notations </w:t>
      </w:r>
      <w:r>
        <w:rPr>
          <w:rStyle w:val="Emphasis"/>
          <w:rFonts w:ascii="Cambria" w:hAnsi="Cambria"/>
          <w:color w:val="575757"/>
          <w:sz w:val="27"/>
          <w:szCs w:val="27"/>
        </w:rPr>
        <w:t>p</w:t>
      </w:r>
      <w:r>
        <w:rPr>
          <w:rFonts w:ascii="Cambria" w:hAnsi="Cambria"/>
          <w:color w:val="575757"/>
          <w:sz w:val="27"/>
          <w:szCs w:val="27"/>
        </w:rPr>
        <w:t> and </w:t>
      </w:r>
      <w:proofErr w:type="spellStart"/>
      <w:r>
        <w:rPr>
          <w:rStyle w:val="Emphasis"/>
          <w:rFonts w:ascii="Cambria" w:hAnsi="Cambria"/>
          <w:color w:val="575757"/>
          <w:sz w:val="27"/>
          <w:szCs w:val="27"/>
        </w:rPr>
        <w:t>q</w:t>
      </w:r>
      <w:r>
        <w:rPr>
          <w:rFonts w:ascii="Cambria" w:hAnsi="Cambria"/>
          <w:color w:val="575757"/>
          <w:sz w:val="27"/>
          <w:szCs w:val="27"/>
        </w:rPr>
        <w:t>instead</w:t>
      </w:r>
      <w:proofErr w:type="spellEnd"/>
      <w:r>
        <w:rPr>
          <w:rFonts w:ascii="Cambria" w:hAnsi="Cambria"/>
          <w:color w:val="575757"/>
          <w:sz w:val="27"/>
          <w:szCs w:val="27"/>
        </w:rPr>
        <w:t xml:space="preserve"> of the </w:t>
      </w:r>
      <w:r>
        <w:rPr>
          <w:rStyle w:val="Emphasis"/>
          <w:rFonts w:ascii="Cambria" w:hAnsi="Cambria"/>
          <w:color w:val="575757"/>
          <w:sz w:val="27"/>
          <w:szCs w:val="27"/>
        </w:rPr>
        <w:t>A</w:t>
      </w:r>
      <w:r>
        <w:rPr>
          <w:rFonts w:ascii="Cambria" w:hAnsi="Cambria"/>
          <w:color w:val="575757"/>
          <w:sz w:val="27"/>
          <w:szCs w:val="27"/>
        </w:rPr>
        <w:t> and </w:t>
      </w:r>
      <w:r>
        <w:rPr>
          <w:rStyle w:val="Emphasis"/>
          <w:rFonts w:ascii="Cambria" w:hAnsi="Cambria"/>
          <w:color w:val="575757"/>
          <w:sz w:val="27"/>
          <w:szCs w:val="27"/>
        </w:rPr>
        <w:t>B</w:t>
      </w:r>
      <w:r>
        <w:rPr>
          <w:rFonts w:ascii="Cambria" w:hAnsi="Cambria"/>
          <w:color w:val="575757"/>
          <w:sz w:val="27"/>
          <w:szCs w:val="27"/>
        </w:rPr>
        <w:t> used in categorical syllogisms. To make these syllogisms easier to understand, we will replace the </w:t>
      </w:r>
      <w:r>
        <w:rPr>
          <w:rStyle w:val="Emphasis"/>
          <w:rFonts w:ascii="Cambria" w:hAnsi="Cambria"/>
          <w:color w:val="575757"/>
          <w:sz w:val="27"/>
          <w:szCs w:val="27"/>
        </w:rPr>
        <w:t>p</w:t>
      </w:r>
      <w:r>
        <w:rPr>
          <w:rFonts w:ascii="Cambria" w:hAnsi="Cambria"/>
          <w:color w:val="575757"/>
          <w:sz w:val="27"/>
          <w:szCs w:val="27"/>
        </w:rPr>
        <w:t>’s and </w:t>
      </w:r>
      <w:r>
        <w:rPr>
          <w:rStyle w:val="Emphasis"/>
          <w:rFonts w:ascii="Cambria" w:hAnsi="Cambria"/>
          <w:color w:val="575757"/>
          <w:sz w:val="27"/>
          <w:szCs w:val="27"/>
        </w:rPr>
        <w:t>q</w:t>
      </w:r>
      <w:r>
        <w:rPr>
          <w:rFonts w:ascii="Cambria" w:hAnsi="Cambria"/>
          <w:color w:val="575757"/>
          <w:sz w:val="27"/>
          <w:szCs w:val="27"/>
        </w:rPr>
        <w:t>’s in the four types of syllogisms in </w:t>
      </w:r>
      <w:hyperlink r:id="rId36" w:history="1">
        <w:r>
          <w:rPr>
            <w:rStyle w:val="Hyperlink"/>
            <w:rFonts w:ascii="Cambria" w:hAnsi="Cambria"/>
            <w:color w:val="007DB8"/>
            <w:sz w:val="27"/>
            <w:szCs w:val="27"/>
          </w:rPr>
          <w:t>Table 13.3</w:t>
        </w:r>
      </w:hyperlink>
      <w:r>
        <w:rPr>
          <w:rFonts w:ascii="Cambria" w:hAnsi="Cambria"/>
          <w:color w:val="575757"/>
          <w:sz w:val="27"/>
          <w:szCs w:val="27"/>
        </w:rPr>
        <w:t> with more real-life examples.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Conditional Syllogism 1</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study, I’ll get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 studied.</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I’ll get a good grade.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form of syllogism—called </w:t>
      </w:r>
      <w:r>
        <w:rPr>
          <w:rStyle w:val="Emphasis"/>
          <w:rFonts w:ascii="Cambria" w:hAnsi="Cambria"/>
          <w:color w:val="575757"/>
          <w:sz w:val="27"/>
          <w:szCs w:val="27"/>
        </w:rPr>
        <w:t>modus ponens</w:t>
      </w:r>
      <w:r>
        <w:rPr>
          <w:rFonts w:ascii="Cambria" w:hAnsi="Cambria"/>
          <w:color w:val="575757"/>
          <w:sz w:val="27"/>
          <w:szCs w:val="27"/>
        </w:rPr>
        <w:t>, which is Latin for (roughly translated) “the way that affirms by affirming”—is valid: The conclusion follows logically from the two premises. When participants are asked to indicate whether the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form of this syllogism is valid, about 97 percent of them correctly classify it as valid (see </w:t>
      </w:r>
      <w:hyperlink r:id="rId37" w:history="1">
        <w:r>
          <w:rPr>
            <w:rStyle w:val="Hyperlink"/>
            <w:rFonts w:ascii="Cambria" w:hAnsi="Cambria"/>
            <w:color w:val="007DB8"/>
            <w:sz w:val="27"/>
            <w:szCs w:val="27"/>
          </w:rPr>
          <w:t>Table 13.3</w:t>
        </w:r>
      </w:hyperlink>
      <w:r>
        <w:rPr>
          <w:rFonts w:ascii="Cambria" w:hAnsi="Cambria"/>
          <w:color w:val="575757"/>
          <w:sz w:val="27"/>
          <w:szCs w:val="27"/>
        </w:rPr>
        <w:t>).</w:t>
      </w:r>
    </w:p>
    <w:p w:rsidR="00670C65" w:rsidRDefault="00670C65" w:rsidP="00670C65">
      <w:pPr>
        <w:rPr>
          <w:rFonts w:ascii="Cambria" w:hAnsi="Cambria"/>
          <w:color w:val="575757"/>
          <w:sz w:val="27"/>
          <w:szCs w:val="27"/>
        </w:rPr>
      </w:pPr>
      <w:bookmarkStart w:id="14" w:name="PageEnd_409"/>
      <w:bookmarkEnd w:id="14"/>
      <w:r>
        <w:rPr>
          <w:rStyle w:val="label"/>
          <w:rFonts w:ascii="Tahoma" w:hAnsi="Tahoma" w:cs="Tahoma"/>
          <w:color w:val="575757"/>
          <w:sz w:val="30"/>
          <w:szCs w:val="30"/>
          <w:shd w:val="clear" w:color="auto" w:fill="80B33D"/>
        </w:rPr>
        <w:t>Table </w:t>
      </w:r>
      <w:r>
        <w:rPr>
          <w:rStyle w:val="ordinal"/>
          <w:rFonts w:ascii="Tahoma" w:hAnsi="Tahoma" w:cs="Tahoma"/>
          <w:color w:val="575757"/>
          <w:sz w:val="30"/>
          <w:szCs w:val="30"/>
          <w:shd w:val="clear" w:color="auto" w:fill="80B33D"/>
        </w:rPr>
        <w:t>13.3</w:t>
      </w:r>
    </w:p>
    <w:p w:rsidR="00670C65" w:rsidRDefault="00670C65" w:rsidP="00670C65">
      <w:pPr>
        <w:pStyle w:val="Heading3"/>
        <w:spacing w:before="0"/>
        <w:ind w:left="375"/>
        <w:rPr>
          <w:rFonts w:ascii="Tahoma" w:hAnsi="Tahoma" w:cs="Tahoma"/>
          <w:color w:val="575757"/>
          <w:sz w:val="30"/>
          <w:szCs w:val="30"/>
        </w:rPr>
      </w:pPr>
      <w:r>
        <w:rPr>
          <w:rFonts w:ascii="Tahoma" w:hAnsi="Tahoma" w:cs="Tahoma"/>
          <w:color w:val="575757"/>
          <w:sz w:val="30"/>
          <w:szCs w:val="30"/>
        </w:rPr>
        <w:t>Four Syllogisms That Begin with the Same First Premise</w:t>
      </w:r>
    </w:p>
    <w:p w:rsidR="00670C65" w:rsidRDefault="00670C65" w:rsidP="00670C65">
      <w:pPr>
        <w:pStyle w:val="NormalWeb"/>
        <w:shd w:val="clear" w:color="auto" w:fill="FFFFFF"/>
        <w:spacing w:before="0" w:beforeAutospacing="0" w:after="225" w:afterAutospacing="0"/>
        <w:rPr>
          <w:rFonts w:ascii="Cambria" w:hAnsi="Cambria"/>
          <w:color w:val="575757"/>
          <w:sz w:val="27"/>
          <w:szCs w:val="27"/>
        </w:rPr>
      </w:pPr>
      <w:r>
        <w:rPr>
          <w:rFonts w:ascii="Cambria" w:hAnsi="Cambria"/>
          <w:color w:val="575757"/>
          <w:sz w:val="27"/>
          <w:szCs w:val="27"/>
        </w:rPr>
        <w:t>First premise of all syllogisms: If </w:t>
      </w:r>
      <w:r>
        <w:rPr>
          <w:rStyle w:val="Emphasis"/>
          <w:rFonts w:ascii="Cambria" w:hAnsi="Cambria"/>
          <w:color w:val="575757"/>
          <w:sz w:val="27"/>
          <w:szCs w:val="27"/>
        </w:rPr>
        <w:t>p</w:t>
      </w:r>
      <w:r>
        <w:rPr>
          <w:rFonts w:ascii="Cambria" w:hAnsi="Cambria"/>
          <w:color w:val="575757"/>
          <w:sz w:val="27"/>
          <w:szCs w:val="27"/>
        </w:rPr>
        <w:t>, then </w:t>
      </w:r>
      <w:r>
        <w:rPr>
          <w:rStyle w:val="Emphasis"/>
          <w:rFonts w:ascii="Cambria" w:hAnsi="Cambria"/>
          <w:color w:val="575757"/>
          <w:sz w:val="27"/>
          <w:szCs w:val="27"/>
        </w:rPr>
        <w:t>q</w:t>
      </w:r>
      <w:r>
        <w:rPr>
          <w:rFonts w:ascii="Cambria" w:hAnsi="Cambria"/>
          <w:color w:val="575757"/>
          <w:sz w:val="27"/>
          <w:szCs w:val="27"/>
        </w:rPr>
        <w:t>.</w:t>
      </w:r>
    </w:p>
    <w:tbl>
      <w:tblPr>
        <w:tblW w:w="91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531"/>
        <w:gridCol w:w="1762"/>
        <w:gridCol w:w="1634"/>
        <w:gridCol w:w="1293"/>
        <w:gridCol w:w="1975"/>
      </w:tblGrid>
      <w:tr w:rsidR="00670C65" w:rsidTr="00670C65">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lastRenderedPageBreak/>
              <w:t>Syllogism</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Second Premise</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Conclusion</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Is It Valid?</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b/>
                <w:bCs/>
                <w:color w:val="696969"/>
                <w:sz w:val="20"/>
                <w:szCs w:val="20"/>
              </w:rPr>
            </w:pPr>
            <w:r>
              <w:rPr>
                <w:rFonts w:ascii="Tahoma" w:hAnsi="Tahoma" w:cs="Tahoma"/>
                <w:b/>
                <w:bCs/>
                <w:color w:val="696969"/>
                <w:sz w:val="20"/>
                <w:szCs w:val="20"/>
              </w:rPr>
              <w:t>Judged Correctly?</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Syllogism 1: Modus ponens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p</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Therefore, </w:t>
            </w:r>
            <w:r>
              <w:rPr>
                <w:rStyle w:val="Emphasis"/>
                <w:rFonts w:ascii="Tahoma" w:hAnsi="Tahoma" w:cs="Tahoma"/>
                <w:color w:val="575757"/>
                <w:sz w:val="20"/>
                <w:szCs w:val="20"/>
              </w:rPr>
              <w:t>q</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Yes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97%</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Syllogism 2: Modus tollens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Not </w:t>
            </w:r>
            <w:r>
              <w:rPr>
                <w:rStyle w:val="Emphasis"/>
                <w:rFonts w:ascii="Tahoma" w:hAnsi="Tahoma" w:cs="Tahoma"/>
                <w:color w:val="575757"/>
                <w:sz w:val="20"/>
                <w:szCs w:val="20"/>
              </w:rPr>
              <w:t>q</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Therefore, not </w:t>
            </w:r>
            <w:r>
              <w:rPr>
                <w:rStyle w:val="Emphasis"/>
                <w:rFonts w:ascii="Tahoma" w:hAnsi="Tahoma" w:cs="Tahoma"/>
                <w:color w:val="575757"/>
                <w:sz w:val="20"/>
                <w:szCs w:val="20"/>
              </w:rPr>
              <w:t>p</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Yes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60%</w:t>
            </w:r>
          </w:p>
        </w:tc>
      </w:tr>
      <w:tr w:rsidR="00670C65" w:rsidTr="00670C65">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Syllogism 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q</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Therefore, </w:t>
            </w:r>
            <w:r>
              <w:rPr>
                <w:rStyle w:val="Emphasis"/>
                <w:rFonts w:ascii="Tahoma" w:hAnsi="Tahoma" w:cs="Tahoma"/>
                <w:color w:val="575757"/>
                <w:sz w:val="20"/>
                <w:szCs w:val="20"/>
              </w:rPr>
              <w:t>p</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No</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40%</w:t>
            </w:r>
          </w:p>
        </w:tc>
      </w:tr>
      <w:tr w:rsidR="00670C65" w:rsidTr="00670C65">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hAnsi="Tahoma" w:cs="Tahoma"/>
                <w:color w:val="575757"/>
                <w:sz w:val="20"/>
                <w:szCs w:val="20"/>
              </w:rPr>
              <w:t>Syllogism 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Not </w:t>
            </w:r>
            <w:r>
              <w:rPr>
                <w:rStyle w:val="Emphasis"/>
                <w:rFonts w:ascii="Tahoma" w:hAnsi="Tahoma" w:cs="Tahoma"/>
                <w:color w:val="575757"/>
                <w:sz w:val="20"/>
                <w:szCs w:val="20"/>
              </w:rPr>
              <w:t>p</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Therefore, not </w:t>
            </w:r>
            <w:r>
              <w:rPr>
                <w:rStyle w:val="Emphasis"/>
                <w:rFonts w:ascii="Tahoma" w:hAnsi="Tahoma" w:cs="Tahoma"/>
                <w:color w:val="575757"/>
                <w:sz w:val="20"/>
                <w:szCs w:val="20"/>
              </w:rPr>
              <w:t>q</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No</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40%</w:t>
            </w:r>
          </w:p>
        </w:tc>
      </w:tr>
    </w:tbl>
    <w:p w:rsidR="00670C65" w:rsidRDefault="00670C65" w:rsidP="00670C65">
      <w:pPr>
        <w:shd w:val="clear" w:color="auto" w:fill="FFFFFF"/>
        <w:rPr>
          <w:rFonts w:ascii="Cambria" w:hAnsi="Cambria" w:cs="Times New Roman"/>
          <w:color w:val="575757"/>
          <w:sz w:val="27"/>
          <w:szCs w:val="27"/>
        </w:rPr>
      </w:pPr>
      <w:r>
        <w:rPr>
          <w:rFonts w:ascii="Cambria" w:hAnsi="Cambria"/>
          <w:color w:val="575757"/>
          <w:sz w:val="27"/>
          <w:szCs w:val="27"/>
        </w:rPr>
        <w:fldChar w:fldCharType="begin"/>
      </w:r>
      <w:r>
        <w:rPr>
          <w:rFonts w:ascii="Cambria" w:hAnsi="Cambria"/>
          <w:color w:val="575757"/>
          <w:sz w:val="27"/>
          <w:szCs w:val="27"/>
        </w:rPr>
        <w:instrText xml:space="preserve"> INCLUDEPICTURE "https://ng.cengage.com/static/nbapps/media/images/enlarge.png" \* MERGEFORMATINET </w:instrText>
      </w:r>
      <w:r>
        <w:rPr>
          <w:rFonts w:ascii="Cambria" w:hAnsi="Cambria"/>
          <w:color w:val="575757"/>
          <w:sz w:val="27"/>
          <w:szCs w:val="27"/>
        </w:rPr>
        <w:fldChar w:fldCharType="separate"/>
      </w:r>
      <w:r>
        <w:rPr>
          <w:rFonts w:ascii="Cambria" w:hAnsi="Cambria"/>
          <w:noProof/>
          <w:color w:val="575757"/>
          <w:sz w:val="27"/>
          <w:szCs w:val="27"/>
        </w:rPr>
        <w:drawing>
          <wp:inline distT="0" distB="0" distL="0" distR="0">
            <wp:extent cx="266065" cy="266065"/>
            <wp:effectExtent l="0" t="0" r="635" b="635"/>
            <wp:docPr id="3" name="Picture 3"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large Ta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Pr>
          <w:rFonts w:ascii="Cambria" w:hAnsi="Cambria"/>
          <w:color w:val="575757"/>
          <w:sz w:val="27"/>
          <w:szCs w:val="27"/>
        </w:rPr>
        <w:fldChar w:fldCharType="end"/>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Conditional Syllogism 2</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study, I’ll get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 didn’t get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 didn’t study.</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Valid or not valid? The answer is that this type of syllogism, called </w:t>
      </w:r>
      <w:r>
        <w:rPr>
          <w:rStyle w:val="Emphasis"/>
          <w:rFonts w:ascii="Cambria" w:hAnsi="Cambria"/>
          <w:color w:val="575757"/>
          <w:sz w:val="27"/>
          <w:szCs w:val="27"/>
        </w:rPr>
        <w:t>modus tollens</w:t>
      </w:r>
      <w:r>
        <w:rPr>
          <w:rFonts w:ascii="Cambria" w:hAnsi="Cambria"/>
          <w:color w:val="575757"/>
          <w:sz w:val="27"/>
          <w:szCs w:val="27"/>
        </w:rPr>
        <w:t> (for “the way that denies by denying”), is valid. This form is more difficult to evaluate; only 60 percent get the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version of </w:t>
      </w:r>
      <w:r>
        <w:rPr>
          <w:rStyle w:val="Emphasis"/>
          <w:rFonts w:ascii="Cambria" w:hAnsi="Cambria"/>
          <w:color w:val="575757"/>
          <w:sz w:val="27"/>
          <w:szCs w:val="27"/>
        </w:rPr>
        <w:t>modus tollens</w:t>
      </w:r>
      <w:r>
        <w:rPr>
          <w:rFonts w:ascii="Cambria" w:hAnsi="Cambria"/>
          <w:color w:val="575757"/>
          <w:sz w:val="27"/>
          <w:szCs w:val="27"/>
        </w:rPr>
        <w:t> correct.</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Conditional Syllogism 3</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study, I’ll get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 got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 studied.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conclusion in this syllogism (“I studied”) is not valid because even if you didn’t study, it is still possible that you could have received a good grade. Perhaps the exam was easy, or maybe you already knew the material. Only 40 percent of participants correctly classify this syllogism as invalid. Assessing the validity of this type of syllogism can be particularly difficult depending on its content. To demonstrate this, consider the following syllogism, which has the same form but different content.</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live in Tucson, then I live in Arizona</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lastRenderedPageBreak/>
        <w:t>I live in Arizona.</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 live in Tucson.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It is much more obvious that the conclusion of this syllogism does not follow from the premises, because if you live in Arizona, there are lots of places other than Tucson that you could live. This shows that the way a problem or a syllogism is stated can influence how easy it is to evaluate it.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Finally, let’s consider Syllogism 4.</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Style w:val="Emphasis"/>
          <w:rFonts w:ascii="Cambria" w:hAnsi="Cambria"/>
          <w:color w:val="575757"/>
          <w:sz w:val="27"/>
          <w:szCs w:val="27"/>
        </w:rPr>
        <w:t>Conditional Syllogism 4</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study, then I’ll get a good grade.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 didn’t study.</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 didn’t get a good grade.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conclusion of this syllogism (I didn’t get a good grade) is not valid. As with Syllogism 3, you can probably think of situations that would contradict the conclusion, in which someone got a good grade even though he or she didn’t study. Once again, the fact that this syllogism is invalid becomes more obvious when restated in terms of Tucson and Arizona.</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If I live in Tucson, then I live in Arizona.</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 don’t live in Tucson.</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Therefore, I don’t live in Arizona.</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As with Syllogism 3, the fact that the conclusion (I don’t live in Arizona) is not valid becomes more obvious when we change the content. Note from </w:t>
      </w:r>
      <w:hyperlink r:id="rId38" w:history="1">
        <w:r>
          <w:rPr>
            <w:rStyle w:val="Hyperlink"/>
            <w:rFonts w:ascii="Cambria" w:hAnsi="Cambria"/>
            <w:color w:val="007DB8"/>
            <w:sz w:val="27"/>
            <w:szCs w:val="27"/>
          </w:rPr>
          <w:t>Table 13.3</w:t>
        </w:r>
      </w:hyperlink>
      <w:r>
        <w:rPr>
          <w:rFonts w:ascii="Cambria" w:hAnsi="Cambria"/>
          <w:color w:val="575757"/>
          <w:sz w:val="27"/>
          <w:szCs w:val="27"/>
        </w:rPr>
        <w:t> that only 40 percent of participants correctly evaluate this syllogism as invalid when it is in the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format. In the next section, we will describe a reasoning problem that further supports the idea that the way a syllogism is stated can make it easier to evaluate it correctly.</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13-2d</w:t>
      </w:r>
      <w:r>
        <w:rPr>
          <w:rStyle w:val="headingtext"/>
          <w:rFonts w:ascii="Tahoma" w:hAnsi="Tahoma" w:cs="Tahoma"/>
          <w:color w:val="DF7300"/>
          <w:sz w:val="41"/>
          <w:szCs w:val="41"/>
        </w:rPr>
        <w:t xml:space="preserve">Conditional Reasoning: The </w:t>
      </w:r>
      <w:proofErr w:type="spellStart"/>
      <w:r>
        <w:rPr>
          <w:rStyle w:val="headingtext"/>
          <w:rFonts w:ascii="Tahoma" w:hAnsi="Tahoma" w:cs="Tahoma"/>
          <w:color w:val="DF7300"/>
          <w:sz w:val="41"/>
          <w:szCs w:val="41"/>
        </w:rPr>
        <w:t>Wason</w:t>
      </w:r>
      <w:proofErr w:type="spellEnd"/>
      <w:r>
        <w:rPr>
          <w:rStyle w:val="headingtext"/>
          <w:rFonts w:ascii="Tahoma" w:hAnsi="Tahoma" w:cs="Tahoma"/>
          <w:color w:val="DF7300"/>
          <w:sz w:val="41"/>
          <w:szCs w:val="41"/>
        </w:rPr>
        <w:t xml:space="preserve"> Four-Card Problem</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If reasoning from conditional syllogisms depended only on applying rules of formal logic, then it wouldn’t matter whether the syllogism was stated in terms of abstract symbols, such</w:t>
      </w:r>
      <w:bookmarkStart w:id="15" w:name="PageEnd_410"/>
      <w:bookmarkEnd w:id="15"/>
      <w:r>
        <w:rPr>
          <w:rFonts w:ascii="Cambria" w:hAnsi="Cambria"/>
          <w:color w:val="575757"/>
          <w:sz w:val="27"/>
          <w:szCs w:val="27"/>
        </w:rPr>
        <w:t> as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or in terms of real-world examples, such as studying or cities. However, research shows that people are often better at judging the validity of syllogisms when real-world examples are substituted for abstract symbols. As we look at this research, we will see that, as with our syllogism examples, some real-world examples are better than others. Our main goal, however, is not simply to show that stating a problem in real-world terms makes it easier, but to consider how researchers have used various ways of stating a problem to propose mechanisms that explain </w:t>
      </w:r>
      <w:proofErr w:type="spellStart"/>
      <w:r>
        <w:rPr>
          <w:rStyle w:val="Emphasis"/>
          <w:rFonts w:ascii="Cambria" w:hAnsi="Cambria"/>
          <w:color w:val="575757"/>
          <w:sz w:val="27"/>
          <w:szCs w:val="27"/>
        </w:rPr>
        <w:t>why</w:t>
      </w:r>
      <w:r>
        <w:rPr>
          <w:rFonts w:ascii="Cambria" w:hAnsi="Cambria"/>
          <w:color w:val="575757"/>
          <w:sz w:val="27"/>
          <w:szCs w:val="27"/>
        </w:rPr>
        <w:t>the</w:t>
      </w:r>
      <w:proofErr w:type="spellEnd"/>
      <w:r>
        <w:rPr>
          <w:rFonts w:ascii="Cambria" w:hAnsi="Cambria"/>
          <w:color w:val="575757"/>
          <w:sz w:val="27"/>
          <w:szCs w:val="27"/>
        </w:rPr>
        <w:t xml:space="preserve"> real-world problems are easier. To study this, many researchers have used a classic reasoning problem called the </w:t>
      </w:r>
      <w:proofErr w:type="spellStart"/>
      <w:r>
        <w:rPr>
          <w:rFonts w:ascii="Cambria" w:hAnsi="Cambria"/>
          <w:color w:val="575757"/>
          <w:sz w:val="27"/>
          <w:szCs w:val="27"/>
        </w:rPr>
        <w:fldChar w:fldCharType="begin"/>
      </w:r>
      <w:r>
        <w:rPr>
          <w:rFonts w:ascii="Cambria" w:hAnsi="Cambria"/>
          <w:color w:val="575757"/>
          <w:sz w:val="27"/>
          <w:szCs w:val="27"/>
        </w:rPr>
        <w:instrText xml:space="preserve"> HYPERLINK "javascript://" </w:instrText>
      </w:r>
      <w:r>
        <w:rPr>
          <w:rFonts w:ascii="Cambria" w:hAnsi="Cambria"/>
          <w:color w:val="575757"/>
          <w:sz w:val="27"/>
          <w:szCs w:val="27"/>
        </w:rPr>
        <w:fldChar w:fldCharType="separate"/>
      </w:r>
      <w:r>
        <w:rPr>
          <w:rStyle w:val="primaryterm"/>
          <w:rFonts w:ascii="Cambria" w:hAnsi="Cambria"/>
          <w:b/>
          <w:bCs/>
          <w:color w:val="0081BC"/>
          <w:sz w:val="27"/>
          <w:szCs w:val="27"/>
        </w:rPr>
        <w:t>Wason</w:t>
      </w:r>
      <w:proofErr w:type="spellEnd"/>
      <w:r>
        <w:rPr>
          <w:rStyle w:val="primaryterm"/>
          <w:rFonts w:ascii="Cambria" w:hAnsi="Cambria"/>
          <w:b/>
          <w:bCs/>
          <w:color w:val="0081BC"/>
          <w:sz w:val="27"/>
          <w:szCs w:val="27"/>
        </w:rPr>
        <w:t xml:space="preserve"> four-card problem</w:t>
      </w:r>
      <w:r>
        <w:rPr>
          <w:rFonts w:ascii="Cambria" w:hAnsi="Cambria"/>
          <w:color w:val="575757"/>
          <w:sz w:val="27"/>
          <w:szCs w:val="27"/>
        </w:rPr>
        <w:fldChar w:fldCharType="end"/>
      </w:r>
      <w:r>
        <w:rPr>
          <w:rFonts w:ascii="Cambria" w:hAnsi="Cambria"/>
          <w:color w:val="575757"/>
          <w:sz w:val="27"/>
          <w:szCs w:val="27"/>
        </w:rPr>
        <w:t>.</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 xml:space="preserve">The </w:t>
      </w:r>
      <w:proofErr w:type="spellStart"/>
      <w:r>
        <w:rPr>
          <w:rFonts w:ascii="Tahoma" w:hAnsi="Tahoma" w:cs="Tahoma"/>
          <w:color w:val="575757"/>
          <w:spacing w:val="7"/>
          <w:sz w:val="30"/>
          <w:szCs w:val="30"/>
        </w:rPr>
        <w:t>Wason</w:t>
      </w:r>
      <w:proofErr w:type="spellEnd"/>
      <w:r>
        <w:rPr>
          <w:rFonts w:ascii="Tahoma" w:hAnsi="Tahoma" w:cs="Tahoma"/>
          <w:color w:val="575757"/>
          <w:spacing w:val="7"/>
          <w:sz w:val="30"/>
          <w:szCs w:val="30"/>
        </w:rPr>
        <w:t xml:space="preserve"> Four-Card Problem</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Four cards are shown in </w:t>
      </w:r>
      <w:hyperlink r:id="rId39" w:history="1">
        <w:r>
          <w:rPr>
            <w:rStyle w:val="Hyperlink"/>
            <w:rFonts w:ascii="Cambria" w:eastAsiaTheme="majorEastAsia" w:hAnsi="Cambria"/>
            <w:color w:val="007DB8"/>
            <w:sz w:val="27"/>
            <w:szCs w:val="27"/>
          </w:rPr>
          <w:t>Figure 13.5</w:t>
        </w:r>
      </w:hyperlink>
      <w:r>
        <w:rPr>
          <w:rFonts w:ascii="Cambria" w:hAnsi="Cambria"/>
          <w:color w:val="575757"/>
          <w:sz w:val="27"/>
          <w:szCs w:val="27"/>
        </w:rPr>
        <w:t>. Each card has a letter on one side and a number on the other side. Your task is to indicate which cards you would need to turn over to test the following rule:</w:t>
      </w:r>
    </w:p>
    <w:p w:rsidR="00670C65" w:rsidRDefault="00670C65" w:rsidP="00670C65">
      <w:pPr>
        <w:pStyle w:val="NormalWeb"/>
        <w:numPr>
          <w:ilvl w:val="0"/>
          <w:numId w:val="6"/>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If there is a vowel on one side of the card, then there is an even number on the other side.</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13.5</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The </w:t>
      </w:r>
      <w:proofErr w:type="spellStart"/>
      <w:r>
        <w:rPr>
          <w:rFonts w:ascii="Tahoma" w:hAnsi="Tahoma" w:cs="Tahoma"/>
          <w:color w:val="575757"/>
          <w:sz w:val="29"/>
          <w:szCs w:val="29"/>
        </w:rPr>
        <w:t>Wason</w:t>
      </w:r>
      <w:proofErr w:type="spellEnd"/>
      <w:r>
        <w:rPr>
          <w:rFonts w:ascii="Tahoma" w:hAnsi="Tahoma" w:cs="Tahoma"/>
          <w:color w:val="575757"/>
          <w:sz w:val="29"/>
          <w:szCs w:val="29"/>
        </w:rPr>
        <w:t xml:space="preserve"> four-card problem (</w:t>
      </w:r>
      <w:proofErr w:type="spellStart"/>
      <w:r>
        <w:rPr>
          <w:rStyle w:val="citation"/>
          <w:rFonts w:ascii="Tahoma" w:hAnsi="Tahoma" w:cs="Tahoma"/>
          <w:color w:val="575757"/>
          <w:sz w:val="29"/>
          <w:szCs w:val="29"/>
        </w:rPr>
        <w:t>Wason</w:t>
      </w:r>
      <w:proofErr w:type="spellEnd"/>
      <w:r>
        <w:rPr>
          <w:rStyle w:val="citation"/>
          <w:rFonts w:ascii="Tahoma" w:hAnsi="Tahoma" w:cs="Tahoma"/>
          <w:color w:val="575757"/>
          <w:sz w:val="29"/>
          <w:szCs w:val="29"/>
        </w:rPr>
        <w:t>, 1966</w:t>
      </w:r>
      <w:r>
        <w:rPr>
          <w:rFonts w:ascii="Tahoma" w:hAnsi="Tahoma" w:cs="Tahoma"/>
          <w:color w:val="575757"/>
          <w:sz w:val="29"/>
          <w:szCs w:val="29"/>
        </w:rPr>
        <w:t>). Follow the directions in the demonstration and try this problem.</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 Based on </w:t>
      </w:r>
      <w:proofErr w:type="spellStart"/>
      <w:r>
        <w:rPr>
          <w:rFonts w:ascii="Tahoma" w:hAnsi="Tahoma" w:cs="Tahoma"/>
          <w:color w:val="666666"/>
          <w:sz w:val="22"/>
          <w:szCs w:val="22"/>
        </w:rPr>
        <w:t>Wason</w:t>
      </w:r>
      <w:proofErr w:type="spellEnd"/>
      <w:r>
        <w:rPr>
          <w:rFonts w:ascii="Tahoma" w:hAnsi="Tahoma" w:cs="Tahoma"/>
          <w:color w:val="666666"/>
          <w:sz w:val="22"/>
          <w:szCs w:val="22"/>
        </w:rPr>
        <w:t>, 1966)</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When </w:t>
      </w:r>
      <w:proofErr w:type="spellStart"/>
      <w:r>
        <w:rPr>
          <w:rStyle w:val="citation"/>
          <w:rFonts w:ascii="Cambria" w:hAnsi="Cambria"/>
          <w:color w:val="575757"/>
          <w:sz w:val="27"/>
          <w:szCs w:val="27"/>
        </w:rPr>
        <w:t>Wason</w:t>
      </w:r>
      <w:proofErr w:type="spellEnd"/>
      <w:r>
        <w:rPr>
          <w:rStyle w:val="citation"/>
          <w:rFonts w:ascii="Cambria" w:hAnsi="Cambria"/>
          <w:color w:val="575757"/>
          <w:sz w:val="27"/>
          <w:szCs w:val="27"/>
        </w:rPr>
        <w:t xml:space="preserve"> (1966)</w:t>
      </w:r>
      <w:r>
        <w:rPr>
          <w:rFonts w:ascii="Cambria" w:hAnsi="Cambria"/>
          <w:color w:val="575757"/>
          <w:sz w:val="27"/>
          <w:szCs w:val="27"/>
        </w:rPr>
        <w:t> posed this task (which we will call the abstract version of the task), 53 percent of his participants indicated that the E must be turned over. We can see that this is correct from </w:t>
      </w:r>
      <w:hyperlink r:id="rId40" w:history="1">
        <w:r>
          <w:rPr>
            <w:rStyle w:val="Hyperlink"/>
            <w:rFonts w:ascii="Cambria" w:eastAsiaTheme="majorEastAsia" w:hAnsi="Cambria"/>
            <w:color w:val="007DB8"/>
            <w:sz w:val="27"/>
            <w:szCs w:val="27"/>
          </w:rPr>
          <w:t>Figure 13.6a</w:t>
        </w:r>
      </w:hyperlink>
      <w:r>
        <w:rPr>
          <w:rFonts w:ascii="Cambria" w:hAnsi="Cambria"/>
          <w:color w:val="575757"/>
          <w:sz w:val="27"/>
          <w:szCs w:val="27"/>
        </w:rPr>
        <w:t xml:space="preserve">, which shows the two possibilities that can result from turning over the E: either an odd number or an even number. Outcomes that conform to </w:t>
      </w:r>
      <w:proofErr w:type="spellStart"/>
      <w:r>
        <w:rPr>
          <w:rFonts w:ascii="Cambria" w:hAnsi="Cambria"/>
          <w:color w:val="575757"/>
          <w:sz w:val="27"/>
          <w:szCs w:val="27"/>
        </w:rPr>
        <w:t>Wason’s</w:t>
      </w:r>
      <w:proofErr w:type="spellEnd"/>
      <w:r>
        <w:rPr>
          <w:rFonts w:ascii="Cambria" w:hAnsi="Cambria"/>
          <w:color w:val="575757"/>
          <w:sz w:val="27"/>
          <w:szCs w:val="27"/>
        </w:rPr>
        <w:t xml:space="preserve"> rule are outlined in green, those that don’t conform are outlined in red, </w:t>
      </w:r>
      <w:r>
        <w:rPr>
          <w:rFonts w:ascii="Cambria" w:hAnsi="Cambria"/>
          <w:color w:val="575757"/>
          <w:sz w:val="27"/>
          <w:szCs w:val="27"/>
        </w:rPr>
        <w:lastRenderedPageBreak/>
        <w:t>and those that aren’t covered by the rule have no color. Thus, turning over the E and revealing an even number conforms to the rule, but revealing an odd number doesn’t conform to the rule. Because finding an odd number on the other side of the E would indicate that the rule is not true, it is necessary to turn over the E to test the rule.</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13.6</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Possible outcomes of turning over cards in the </w:t>
      </w:r>
      <w:proofErr w:type="spellStart"/>
      <w:r>
        <w:rPr>
          <w:rFonts w:ascii="Tahoma" w:hAnsi="Tahoma" w:cs="Tahoma"/>
          <w:color w:val="575757"/>
          <w:sz w:val="29"/>
          <w:szCs w:val="29"/>
        </w:rPr>
        <w:t>Wason</w:t>
      </w:r>
      <w:proofErr w:type="spellEnd"/>
      <w:r>
        <w:rPr>
          <w:rFonts w:ascii="Tahoma" w:hAnsi="Tahoma" w:cs="Tahoma"/>
          <w:color w:val="575757"/>
          <w:sz w:val="29"/>
          <w:szCs w:val="29"/>
        </w:rPr>
        <w:t xml:space="preserve"> four-card problem from </w:t>
      </w:r>
      <w:hyperlink r:id="rId41" w:history="1">
        <w:r>
          <w:rPr>
            <w:rStyle w:val="Hyperlink"/>
            <w:rFonts w:ascii="Tahoma" w:eastAsiaTheme="majorEastAsia" w:hAnsi="Tahoma" w:cs="Tahoma"/>
            <w:color w:val="007DB8"/>
            <w:sz w:val="29"/>
            <w:szCs w:val="29"/>
          </w:rPr>
          <w:t>Figure 13.5</w:t>
        </w:r>
      </w:hyperlink>
      <w:r>
        <w:rPr>
          <w:rFonts w:ascii="Tahoma" w:hAnsi="Tahoma" w:cs="Tahoma"/>
          <w:color w:val="575757"/>
          <w:sz w:val="29"/>
          <w:szCs w:val="29"/>
        </w:rPr>
        <w:t>. Red borders indicate a situation in which turning over the card falsifies the statement “If there is a vowel on one side, then there is an even number on the other side.” Green borders indicate a situation in which turning over the card confirms the statement. No color indicates that the outcome is irrelevant to the statement. To test the statement by applying the falsification principle, it is necessary to turn over the E and 7 cards.</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However, another card needs to be turned over to fully test the rule. In </w:t>
      </w:r>
      <w:proofErr w:type="spellStart"/>
      <w:r>
        <w:rPr>
          <w:rFonts w:ascii="Cambria" w:hAnsi="Cambria"/>
          <w:color w:val="575757"/>
          <w:sz w:val="27"/>
          <w:szCs w:val="27"/>
        </w:rPr>
        <w:t>Wason’s</w:t>
      </w:r>
      <w:proofErr w:type="spellEnd"/>
      <w:r>
        <w:rPr>
          <w:rFonts w:ascii="Cambria" w:hAnsi="Cambria"/>
          <w:color w:val="575757"/>
          <w:sz w:val="27"/>
          <w:szCs w:val="27"/>
        </w:rPr>
        <w:t xml:space="preserve"> experiment, 46 percent of participants indicated that in addition to the E, the 4 would need to be turned over. But </w:t>
      </w:r>
      <w:hyperlink r:id="rId42" w:history="1">
        <w:r>
          <w:rPr>
            <w:rStyle w:val="Hyperlink"/>
            <w:rFonts w:ascii="Cambria" w:eastAsiaTheme="majorEastAsia" w:hAnsi="Cambria"/>
            <w:color w:val="007DB8"/>
            <w:sz w:val="27"/>
            <w:szCs w:val="27"/>
          </w:rPr>
          <w:t>Figure 13.6b</w:t>
        </w:r>
      </w:hyperlink>
      <w:r>
        <w:rPr>
          <w:rFonts w:ascii="Cambria" w:hAnsi="Cambria"/>
          <w:color w:val="575757"/>
          <w:sz w:val="27"/>
          <w:szCs w:val="27"/>
        </w:rPr>
        <w:t> shows that this tells us nothing, because the rule doesn’t mention consonants. Although there’s nothing wrong with finding a vowel on the other side of the 4, this provides no information about whether the rule is true other than it works </w:t>
      </w:r>
      <w:r>
        <w:rPr>
          <w:rStyle w:val="Emphasis"/>
          <w:rFonts w:ascii="Cambria" w:hAnsi="Cambria"/>
          <w:color w:val="575757"/>
          <w:sz w:val="27"/>
          <w:szCs w:val="27"/>
        </w:rPr>
        <w:t>in this case</w:t>
      </w:r>
      <w:r>
        <w:rPr>
          <w:rFonts w:ascii="Cambria" w:hAnsi="Cambria"/>
          <w:color w:val="575757"/>
          <w:sz w:val="27"/>
          <w:szCs w:val="27"/>
        </w:rPr>
        <w:t>. What we’re looking for when testing any rule is an example that </w:t>
      </w:r>
      <w:r>
        <w:rPr>
          <w:rStyle w:val="Emphasis"/>
          <w:rFonts w:ascii="Cambria" w:hAnsi="Cambria"/>
          <w:color w:val="575757"/>
          <w:sz w:val="27"/>
          <w:szCs w:val="27"/>
        </w:rPr>
        <w:t>doesn’t</w:t>
      </w:r>
      <w:r>
        <w:rPr>
          <w:rFonts w:ascii="Cambria" w:hAnsi="Cambria"/>
          <w:color w:val="575757"/>
          <w:sz w:val="27"/>
          <w:szCs w:val="27"/>
        </w:rPr>
        <w:t> work. As soon as we find such an example, we can conclude that the rule is false. This is the </w:t>
      </w:r>
      <w:hyperlink r:id="rId43" w:history="1">
        <w:r>
          <w:rPr>
            <w:rStyle w:val="primaryterm"/>
            <w:rFonts w:ascii="Cambria" w:hAnsi="Cambria"/>
            <w:b/>
            <w:bCs/>
            <w:color w:val="0081BC"/>
            <w:sz w:val="27"/>
            <w:szCs w:val="27"/>
          </w:rPr>
          <w:t>falsification principle</w:t>
        </w:r>
      </w:hyperlink>
      <w:r>
        <w:rPr>
          <w:rFonts w:ascii="Cambria" w:hAnsi="Cambria"/>
          <w:color w:val="575757"/>
          <w:sz w:val="27"/>
          <w:szCs w:val="27"/>
        </w:rPr>
        <w:t>: </w:t>
      </w:r>
      <w:r>
        <w:rPr>
          <w:rStyle w:val="Emphasis"/>
          <w:rFonts w:ascii="Cambria" w:hAnsi="Cambria"/>
          <w:color w:val="575757"/>
          <w:sz w:val="27"/>
          <w:szCs w:val="27"/>
        </w:rPr>
        <w:t>To test a rule, it is necessary to look for situations that would falsify the rule</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Returning to </w:t>
      </w:r>
      <w:hyperlink r:id="rId44" w:history="1">
        <w:r>
          <w:rPr>
            <w:rStyle w:val="Hyperlink"/>
            <w:rFonts w:ascii="Cambria" w:eastAsiaTheme="majorEastAsia" w:hAnsi="Cambria"/>
            <w:color w:val="007DB8"/>
            <w:sz w:val="27"/>
            <w:szCs w:val="27"/>
          </w:rPr>
          <w:t>Figure 13.6</w:t>
        </w:r>
      </w:hyperlink>
      <w:r>
        <w:rPr>
          <w:rFonts w:ascii="Cambria" w:hAnsi="Cambria"/>
          <w:color w:val="575757"/>
          <w:sz w:val="27"/>
          <w:szCs w:val="27"/>
        </w:rPr>
        <w:t>, we can see that whatever happens when turning over the K tells us nothing (it’s another irrelevant consonant</w:t>
      </w:r>
      <w:proofErr w:type="gramStart"/>
      <w:r>
        <w:rPr>
          <w:rFonts w:ascii="Cambria" w:hAnsi="Cambria"/>
          <w:color w:val="575757"/>
          <w:sz w:val="27"/>
          <w:szCs w:val="27"/>
        </w:rPr>
        <w:t>), but</w:t>
      </w:r>
      <w:proofErr w:type="gramEnd"/>
      <w:r>
        <w:rPr>
          <w:rFonts w:ascii="Cambria" w:hAnsi="Cambria"/>
          <w:color w:val="575757"/>
          <w:sz w:val="27"/>
          <w:szCs w:val="27"/>
        </w:rPr>
        <w:t xml:space="preserve"> finding a vowel on the other side of the 7 falsifies the rule. Only 4 percent of </w:t>
      </w:r>
      <w:proofErr w:type="spellStart"/>
      <w:r>
        <w:rPr>
          <w:rFonts w:ascii="Cambria" w:hAnsi="Cambria"/>
          <w:color w:val="575757"/>
          <w:sz w:val="27"/>
          <w:szCs w:val="27"/>
        </w:rPr>
        <w:t>Wason’s</w:t>
      </w:r>
      <w:proofErr w:type="spellEnd"/>
      <w:r>
        <w:rPr>
          <w:rFonts w:ascii="Cambria" w:hAnsi="Cambria"/>
          <w:color w:val="575757"/>
          <w:sz w:val="27"/>
          <w:szCs w:val="27"/>
        </w:rPr>
        <w:t xml:space="preserve"> participants came up with the correct answer—that the second card that needs to be turned over is the 7.</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lastRenderedPageBreak/>
        <w:t xml:space="preserve">What Real-world Versions of the </w:t>
      </w:r>
      <w:proofErr w:type="spellStart"/>
      <w:r>
        <w:rPr>
          <w:rStyle w:val="headingtext"/>
          <w:rFonts w:ascii="Tahoma" w:hAnsi="Tahoma" w:cs="Tahoma"/>
          <w:color w:val="B03F3B"/>
          <w:sz w:val="31"/>
          <w:szCs w:val="31"/>
        </w:rPr>
        <w:t>Wason</w:t>
      </w:r>
      <w:proofErr w:type="spellEnd"/>
      <w:r>
        <w:rPr>
          <w:rStyle w:val="headingtext"/>
          <w:rFonts w:ascii="Tahoma" w:hAnsi="Tahoma" w:cs="Tahoma"/>
          <w:color w:val="B03F3B"/>
          <w:sz w:val="31"/>
          <w:szCs w:val="31"/>
        </w:rPr>
        <w:t xml:space="preserve"> Task Tell Us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w:t>
      </w:r>
      <w:proofErr w:type="spellStart"/>
      <w:r>
        <w:rPr>
          <w:rFonts w:ascii="Cambria" w:hAnsi="Cambria"/>
          <w:color w:val="575757"/>
          <w:sz w:val="27"/>
          <w:szCs w:val="27"/>
        </w:rPr>
        <w:t>Wason</w:t>
      </w:r>
      <w:proofErr w:type="spellEnd"/>
      <w:r>
        <w:rPr>
          <w:rFonts w:ascii="Cambria" w:hAnsi="Cambria"/>
          <w:color w:val="575757"/>
          <w:sz w:val="27"/>
          <w:szCs w:val="27"/>
        </w:rPr>
        <w:t xml:space="preserve"> task has generated a great deal of research, because it is an “If … then” conditional</w:t>
      </w:r>
      <w:bookmarkStart w:id="16" w:name="PageEnd_411"/>
      <w:bookmarkEnd w:id="16"/>
      <w:r>
        <w:rPr>
          <w:rFonts w:ascii="Cambria" w:hAnsi="Cambria"/>
          <w:color w:val="575757"/>
          <w:sz w:val="27"/>
          <w:szCs w:val="27"/>
        </w:rPr>
        <w:t> reasoning task. One of the reasons researchers are interested in this problem is that when the problem is stated in real-world terms, performance improves. For example, Richard Griggs and James </w:t>
      </w:r>
      <w:r>
        <w:rPr>
          <w:rStyle w:val="citation"/>
          <w:rFonts w:ascii="Cambria" w:hAnsi="Cambria"/>
          <w:color w:val="575757"/>
          <w:sz w:val="27"/>
          <w:szCs w:val="27"/>
        </w:rPr>
        <w:t>Cox (</w:t>
      </w:r>
      <w:proofErr w:type="gramStart"/>
      <w:r>
        <w:rPr>
          <w:rStyle w:val="citation"/>
          <w:rFonts w:ascii="Cambria" w:hAnsi="Cambria"/>
          <w:color w:val="575757"/>
          <w:sz w:val="27"/>
          <w:szCs w:val="27"/>
        </w:rPr>
        <w:t>1982)</w:t>
      </w:r>
      <w:r>
        <w:rPr>
          <w:rFonts w:ascii="Cambria" w:hAnsi="Cambria"/>
          <w:color w:val="575757"/>
          <w:sz w:val="27"/>
          <w:szCs w:val="27"/>
        </w:rPr>
        <w:t>stated</w:t>
      </w:r>
      <w:proofErr w:type="gramEnd"/>
      <w:r>
        <w:rPr>
          <w:rFonts w:ascii="Cambria" w:hAnsi="Cambria"/>
          <w:color w:val="575757"/>
          <w:sz w:val="27"/>
          <w:szCs w:val="27"/>
        </w:rPr>
        <w:t xml:space="preserve"> the problem as follows:</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Four cards are shown in </w:t>
      </w:r>
      <w:hyperlink r:id="rId45" w:history="1">
        <w:r>
          <w:rPr>
            <w:rStyle w:val="Hyperlink"/>
            <w:rFonts w:ascii="Cambria" w:eastAsiaTheme="majorEastAsia" w:hAnsi="Cambria"/>
            <w:color w:val="007DB8"/>
            <w:sz w:val="27"/>
            <w:szCs w:val="27"/>
          </w:rPr>
          <w:t>Figure 13.7</w:t>
        </w:r>
      </w:hyperlink>
      <w:r>
        <w:rPr>
          <w:rFonts w:ascii="Cambria" w:hAnsi="Cambria"/>
          <w:color w:val="575757"/>
          <w:sz w:val="27"/>
          <w:szCs w:val="27"/>
        </w:rPr>
        <w:t>. Each card has an age on one side and the name of a beverage on the other side. Imagine you are a police officer who is applying the rule “If a person is drinking beer, then he or she must be over 19 years old.” (The participants in this experiment were from Florida, where the drinking age was 19 at the time.) Which of the cards in </w:t>
      </w:r>
      <w:hyperlink r:id="rId46" w:history="1">
        <w:r>
          <w:rPr>
            <w:rStyle w:val="Hyperlink"/>
            <w:rFonts w:ascii="Cambria" w:eastAsiaTheme="majorEastAsia" w:hAnsi="Cambria"/>
            <w:color w:val="007DB8"/>
            <w:sz w:val="27"/>
            <w:szCs w:val="27"/>
          </w:rPr>
          <w:t>Figure 13.7</w:t>
        </w:r>
      </w:hyperlink>
      <w:r>
        <w:rPr>
          <w:rFonts w:ascii="Cambria" w:hAnsi="Cambria"/>
          <w:color w:val="575757"/>
          <w:sz w:val="27"/>
          <w:szCs w:val="27"/>
        </w:rPr>
        <w:t> must be turned over to determine whether the rule is being followed?</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13.7</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The beer/drinking-age version of the four-card problem.</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r>
        <w:rPr>
          <w:rStyle w:val="citation"/>
          <w:rFonts w:ascii="Tahoma" w:hAnsi="Tahoma" w:cs="Tahoma"/>
          <w:color w:val="666666"/>
          <w:sz w:val="22"/>
          <w:szCs w:val="22"/>
        </w:rPr>
        <w:t>Griggs &amp; Cox, 1982</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This beer/drinking-age version of </w:t>
      </w:r>
      <w:proofErr w:type="spellStart"/>
      <w:r>
        <w:rPr>
          <w:rFonts w:ascii="Cambria" w:hAnsi="Cambria"/>
          <w:color w:val="575757"/>
          <w:sz w:val="27"/>
          <w:szCs w:val="27"/>
        </w:rPr>
        <w:t>Wason’s</w:t>
      </w:r>
      <w:proofErr w:type="spellEnd"/>
      <w:r>
        <w:rPr>
          <w:rFonts w:ascii="Cambria" w:hAnsi="Cambria"/>
          <w:color w:val="575757"/>
          <w:sz w:val="27"/>
          <w:szCs w:val="27"/>
        </w:rPr>
        <w:t xml:space="preserve"> problem is identical to the abstract version except that concrete everyday terms (beer and soda; younger and older ages) are substituted for the letters and numbers. Griggs and Cox found that for this version of the problem, 73 percent of their participants provided the correct response: It is necessary to turn over the “Beer” and the “16 years old” cards. In contrast, none of their participants answered the abstract task correctly (</w:t>
      </w:r>
      <w:hyperlink r:id="rId47" w:history="1">
        <w:r>
          <w:rPr>
            <w:rStyle w:val="Hyperlink"/>
            <w:rFonts w:ascii="Cambria" w:eastAsiaTheme="majorEastAsia" w:hAnsi="Cambria"/>
            <w:color w:val="007DB8"/>
            <w:sz w:val="27"/>
            <w:szCs w:val="27"/>
          </w:rPr>
          <w:t>Figure 13.8</w:t>
        </w:r>
      </w:hyperlink>
      <w:r>
        <w:rPr>
          <w:rFonts w:ascii="Cambria" w:hAnsi="Cambria"/>
          <w:color w:val="575757"/>
          <w:sz w:val="27"/>
          <w:szCs w:val="27"/>
        </w:rPr>
        <w:t>). Why is the concrete task easier than the abstract task? According to Griggs and Cox, the beer/drinking-age version of the task is easier because it involves regulations people are familiar with. Anyone who knows there is a minimum age for drinking knows that if someone looks 16, they need to be checked.</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13.8</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Performance on different versions of the four-card problem. (a) Abstract version (</w:t>
      </w:r>
      <w:proofErr w:type="spellStart"/>
      <w:r>
        <w:rPr>
          <w:rStyle w:val="citation"/>
          <w:rFonts w:ascii="Tahoma" w:hAnsi="Tahoma" w:cs="Tahoma"/>
          <w:color w:val="575757"/>
          <w:sz w:val="29"/>
          <w:szCs w:val="29"/>
        </w:rPr>
        <w:t>Wason</w:t>
      </w:r>
      <w:proofErr w:type="spellEnd"/>
      <w:r>
        <w:rPr>
          <w:rStyle w:val="citation"/>
          <w:rFonts w:ascii="Tahoma" w:hAnsi="Tahoma" w:cs="Tahoma"/>
          <w:color w:val="575757"/>
          <w:sz w:val="29"/>
          <w:szCs w:val="29"/>
        </w:rPr>
        <w:t>, 1966</w:t>
      </w:r>
      <w:r>
        <w:rPr>
          <w:rFonts w:ascii="Tahoma" w:hAnsi="Tahoma" w:cs="Tahoma"/>
          <w:color w:val="575757"/>
          <w:sz w:val="29"/>
          <w:szCs w:val="29"/>
        </w:rPr>
        <w:t>), shown in </w:t>
      </w:r>
      <w:hyperlink r:id="rId48" w:history="1">
        <w:r>
          <w:rPr>
            <w:rStyle w:val="Hyperlink"/>
            <w:rFonts w:ascii="Tahoma" w:eastAsiaTheme="majorEastAsia" w:hAnsi="Tahoma" w:cs="Tahoma"/>
            <w:color w:val="007DB8"/>
            <w:sz w:val="29"/>
            <w:szCs w:val="29"/>
          </w:rPr>
          <w:t>Figure 13.6</w:t>
        </w:r>
      </w:hyperlink>
      <w:r>
        <w:rPr>
          <w:rFonts w:ascii="Tahoma" w:hAnsi="Tahoma" w:cs="Tahoma"/>
          <w:color w:val="575757"/>
          <w:sz w:val="29"/>
          <w:szCs w:val="29"/>
        </w:rPr>
        <w:t>. (b) Abstract version and beer/drinking-age version (</w:t>
      </w:r>
      <w:r>
        <w:rPr>
          <w:rStyle w:val="citation"/>
          <w:rFonts w:ascii="Tahoma" w:hAnsi="Tahoma" w:cs="Tahoma"/>
          <w:color w:val="575757"/>
          <w:sz w:val="29"/>
          <w:szCs w:val="29"/>
        </w:rPr>
        <w:t>Griggs &amp; Cox, 1982</w:t>
      </w:r>
      <w:r>
        <w:rPr>
          <w:rFonts w:ascii="Tahoma" w:hAnsi="Tahoma" w:cs="Tahoma"/>
          <w:color w:val="575757"/>
          <w:sz w:val="29"/>
          <w:szCs w:val="29"/>
        </w:rPr>
        <w:t>), shown in </w:t>
      </w:r>
      <w:hyperlink r:id="rId49" w:history="1">
        <w:r>
          <w:rPr>
            <w:rStyle w:val="Hyperlink"/>
            <w:rFonts w:ascii="Tahoma" w:eastAsiaTheme="majorEastAsia" w:hAnsi="Tahoma" w:cs="Tahoma"/>
            <w:color w:val="007DB8"/>
            <w:sz w:val="29"/>
            <w:szCs w:val="29"/>
          </w:rPr>
          <w:t>Figure 13.7</w:t>
        </w:r>
      </w:hyperlink>
      <w:r>
        <w:rPr>
          <w:rFonts w:ascii="Tahoma" w:hAnsi="Tahoma" w:cs="Tahoma"/>
          <w:color w:val="575757"/>
          <w:sz w:val="29"/>
          <w:szCs w:val="29"/>
        </w:rPr>
        <w:t>.</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 xml:space="preserve">(Sources: Based on </w:t>
      </w:r>
      <w:proofErr w:type="spellStart"/>
      <w:r>
        <w:rPr>
          <w:rFonts w:ascii="Tahoma" w:hAnsi="Tahoma" w:cs="Tahoma"/>
          <w:color w:val="666666"/>
          <w:sz w:val="22"/>
          <w:szCs w:val="22"/>
        </w:rPr>
        <w:t>Wason</w:t>
      </w:r>
      <w:proofErr w:type="spellEnd"/>
      <w:r>
        <w:rPr>
          <w:rFonts w:ascii="Tahoma" w:hAnsi="Tahoma" w:cs="Tahoma"/>
          <w:color w:val="666666"/>
          <w:sz w:val="22"/>
          <w:szCs w:val="22"/>
        </w:rPr>
        <w:t>, 1996; Griggs &amp; </w:t>
      </w:r>
      <w:r>
        <w:rPr>
          <w:rStyle w:val="citation"/>
          <w:rFonts w:ascii="Tahoma" w:hAnsi="Tahoma" w:cs="Tahoma"/>
          <w:color w:val="666666"/>
          <w:sz w:val="22"/>
          <w:szCs w:val="22"/>
        </w:rPr>
        <w:t>Cox, 1982</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 similar explanation was proposed by Patricia Cheng and Keith </w:t>
      </w:r>
      <w:proofErr w:type="spellStart"/>
      <w:r>
        <w:rPr>
          <w:rStyle w:val="citation"/>
          <w:rFonts w:ascii="Cambria" w:hAnsi="Cambria"/>
          <w:color w:val="575757"/>
          <w:sz w:val="27"/>
          <w:szCs w:val="27"/>
        </w:rPr>
        <w:t>Holyoak</w:t>
      </w:r>
      <w:proofErr w:type="spellEnd"/>
      <w:r>
        <w:rPr>
          <w:rStyle w:val="citation"/>
          <w:rFonts w:ascii="Cambria" w:hAnsi="Cambria"/>
          <w:color w:val="575757"/>
          <w:sz w:val="27"/>
          <w:szCs w:val="27"/>
        </w:rPr>
        <w:t xml:space="preserve"> (1985)</w:t>
      </w:r>
      <w:r>
        <w:rPr>
          <w:rFonts w:ascii="Cambria" w:hAnsi="Cambria"/>
          <w:color w:val="575757"/>
          <w:sz w:val="27"/>
          <w:szCs w:val="27"/>
        </w:rPr>
        <w:t>, who suggested that people think in terms of schemas—their knowledge about rules that govern their thoughts and actions. One of these schemas is a </w:t>
      </w:r>
      <w:hyperlink r:id="rId50" w:history="1">
        <w:r>
          <w:rPr>
            <w:rStyle w:val="primaryterm"/>
            <w:rFonts w:ascii="Cambria" w:hAnsi="Cambria"/>
            <w:b/>
            <w:bCs/>
            <w:color w:val="0081BC"/>
            <w:sz w:val="27"/>
            <w:szCs w:val="27"/>
          </w:rPr>
          <w:t>permission schema</w:t>
        </w:r>
      </w:hyperlink>
      <w:r>
        <w:rPr>
          <w:rFonts w:ascii="Cambria" w:hAnsi="Cambria"/>
          <w:color w:val="575757"/>
          <w:sz w:val="27"/>
          <w:szCs w:val="27"/>
        </w:rPr>
        <w:t>, which states that if a person satisfies a specific condition (being of legal drinking age), then he or she gets to carry out an action (being served alcohol). The permission schema “If you are 19, then you get to drink beer” is something that most of the participants in this experiment had learned, so they were able to apply that schema to the card task.</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This idea that people apply a real-life schema like the permission schema to the card task makes it easier to understand the difference between the abstract version of the card task and the real-world beer/drinking-age version. In the abstract task, the goal is to indicate whether an abstract statement about letters and numbers is true. But in the beer/drinking-age task, the goal is to be sure that a person has permission to drink alcohol. Apparently, activating the permission schema helps people focus attention on the card that would test that schema. Participants’ attention is attracted to the “16 years old” card because they know that “Beer” on the other side would be violating the rule that a person must be 19 years old to drink.</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The research presented in this section of the chapter has shown that it can be easier to understand syllogisms like the </w:t>
      </w:r>
      <w:proofErr w:type="spellStart"/>
      <w:r>
        <w:rPr>
          <w:rFonts w:ascii="Cambria" w:hAnsi="Cambria"/>
          <w:color w:val="575757"/>
          <w:sz w:val="27"/>
          <w:szCs w:val="27"/>
        </w:rPr>
        <w:t>Wason</w:t>
      </w:r>
      <w:proofErr w:type="spellEnd"/>
      <w:r>
        <w:rPr>
          <w:rFonts w:ascii="Cambria" w:hAnsi="Cambria"/>
          <w:color w:val="575757"/>
          <w:sz w:val="27"/>
          <w:szCs w:val="27"/>
        </w:rPr>
        <w:t xml:space="preserve"> task when they are stated in terms of real-world situations. One reason for this may be that people are sensitive to situations in which permissions or regulations are involved (</w:t>
      </w:r>
      <w:r>
        <w:rPr>
          <w:rStyle w:val="citation"/>
          <w:rFonts w:ascii="Cambria" w:hAnsi="Cambria"/>
          <w:color w:val="575757"/>
          <w:sz w:val="27"/>
          <w:szCs w:val="27"/>
        </w:rPr>
        <w:t xml:space="preserve">Cheng &amp; </w:t>
      </w:r>
      <w:proofErr w:type="spellStart"/>
      <w:r>
        <w:rPr>
          <w:rStyle w:val="citation"/>
          <w:rFonts w:ascii="Cambria" w:hAnsi="Cambria"/>
          <w:color w:val="575757"/>
          <w:sz w:val="27"/>
          <w:szCs w:val="27"/>
        </w:rPr>
        <w:t>Holyoak</w:t>
      </w:r>
      <w:proofErr w:type="spellEnd"/>
      <w:r>
        <w:rPr>
          <w:rStyle w:val="citation"/>
          <w:rFonts w:ascii="Cambria" w:hAnsi="Cambria"/>
          <w:color w:val="575757"/>
          <w:sz w:val="27"/>
          <w:szCs w:val="27"/>
        </w:rPr>
        <w:t>, 1985</w:t>
      </w:r>
      <w:r>
        <w:rPr>
          <w:rFonts w:ascii="Cambria" w:hAnsi="Cambria"/>
          <w:color w:val="575757"/>
          <w:sz w:val="27"/>
          <w:szCs w:val="27"/>
        </w:rPr>
        <w:t xml:space="preserve">), but perhaps it’s some other reason. Indeed, other researchers have suggested alternative explanations for the results of the real-world </w:t>
      </w:r>
      <w:proofErr w:type="spellStart"/>
      <w:r>
        <w:rPr>
          <w:rFonts w:ascii="Cambria" w:hAnsi="Cambria"/>
          <w:color w:val="575757"/>
          <w:sz w:val="27"/>
          <w:szCs w:val="27"/>
        </w:rPr>
        <w:t>Wason</w:t>
      </w:r>
      <w:proofErr w:type="spellEnd"/>
      <w:r>
        <w:rPr>
          <w:rFonts w:ascii="Cambria" w:hAnsi="Cambria"/>
          <w:color w:val="575757"/>
          <w:sz w:val="27"/>
          <w:szCs w:val="27"/>
        </w:rPr>
        <w:t xml:space="preserve"> task. For instance, Leda Cosmides and John </w:t>
      </w:r>
      <w:proofErr w:type="spellStart"/>
      <w:r>
        <w:rPr>
          <w:rStyle w:val="citation"/>
          <w:rFonts w:ascii="Cambria" w:hAnsi="Cambria"/>
          <w:color w:val="575757"/>
          <w:sz w:val="27"/>
          <w:szCs w:val="27"/>
        </w:rPr>
        <w:t>Tooby</w:t>
      </w:r>
      <w:proofErr w:type="spellEnd"/>
      <w:r>
        <w:rPr>
          <w:rStyle w:val="citation"/>
          <w:rFonts w:ascii="Cambria" w:hAnsi="Cambria"/>
          <w:color w:val="575757"/>
          <w:sz w:val="27"/>
          <w:szCs w:val="27"/>
        </w:rPr>
        <w:t xml:space="preserve"> (1992)</w:t>
      </w:r>
      <w:r>
        <w:rPr>
          <w:rFonts w:ascii="Cambria" w:hAnsi="Cambria"/>
          <w:color w:val="575757"/>
          <w:sz w:val="27"/>
          <w:szCs w:val="27"/>
        </w:rPr>
        <w:t> have suggested that real-world versions are easier to solve because people are on the lookout for cheaters. The reasoning behind this explanation is based on the idea that from an evolutionary point of view, being aware of other people’s cheating is important for survival.</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17" w:name="PageEnd_412"/>
      <w:bookmarkEnd w:id="17"/>
      <w:r>
        <w:rPr>
          <w:rFonts w:ascii="Cambria" w:hAnsi="Cambria"/>
          <w:color w:val="575757"/>
          <w:sz w:val="27"/>
          <w:szCs w:val="27"/>
        </w:rPr>
        <w:lastRenderedPageBreak/>
        <w:t>Each of these explanations—the permissions explanation and cheating explanation—has evidence supporting and refuting it (Johnson-Laird, 1999b; </w:t>
      </w:r>
      <w:proofErr w:type="spellStart"/>
      <w:r>
        <w:rPr>
          <w:rStyle w:val="citation"/>
          <w:rFonts w:ascii="Cambria" w:hAnsi="Cambria"/>
          <w:color w:val="575757"/>
          <w:sz w:val="27"/>
          <w:szCs w:val="27"/>
        </w:rPr>
        <w:t>Manktelow</w:t>
      </w:r>
      <w:proofErr w:type="spellEnd"/>
      <w:r>
        <w:rPr>
          <w:rStyle w:val="citation"/>
          <w:rFonts w:ascii="Cambria" w:hAnsi="Cambria"/>
          <w:color w:val="575757"/>
          <w:sz w:val="27"/>
          <w:szCs w:val="27"/>
        </w:rPr>
        <w:t>, 1999</w:t>
      </w:r>
      <w:r>
        <w:rPr>
          <w:rFonts w:ascii="Cambria" w:hAnsi="Cambria"/>
          <w:color w:val="575757"/>
          <w:sz w:val="27"/>
          <w:szCs w:val="27"/>
        </w:rPr>
        <w:t>, </w:t>
      </w:r>
      <w:r>
        <w:rPr>
          <w:rStyle w:val="citation"/>
          <w:rFonts w:ascii="Cambria" w:hAnsi="Cambria"/>
          <w:color w:val="575757"/>
          <w:sz w:val="27"/>
          <w:szCs w:val="27"/>
        </w:rPr>
        <w:t>2012</w:t>
      </w:r>
      <w:r>
        <w:rPr>
          <w:rFonts w:ascii="Cambria" w:hAnsi="Cambria"/>
          <w:color w:val="575757"/>
          <w:sz w:val="27"/>
          <w:szCs w:val="27"/>
        </w:rPr>
        <w:t>). Regardless of the explanation, we are left with the important finding that the context within which conditional reasoning occurs makes a big difference. Stating the four-card problem in terms of familiar situations can often generate better reasoning than abstract statements or statements that people cannot relate to. This relates back to our discussion of categorical syllogisms, where we saw that the way the syllogism is stated (i.e., in terms of real-world, familiar situations rather than </w:t>
      </w:r>
      <w:r>
        <w:rPr>
          <w:rStyle w:val="Emphasis"/>
          <w:rFonts w:ascii="Cambria" w:hAnsi="Cambria"/>
          <w:color w:val="575757"/>
          <w:sz w:val="27"/>
          <w:szCs w:val="27"/>
        </w:rPr>
        <w:t>p</w:t>
      </w:r>
      <w:r>
        <w:rPr>
          <w:rFonts w:ascii="Cambria" w:hAnsi="Cambria"/>
          <w:color w:val="575757"/>
          <w:sz w:val="27"/>
          <w:szCs w:val="27"/>
        </w:rPr>
        <w:t> and </w:t>
      </w:r>
      <w:r>
        <w:rPr>
          <w:rStyle w:val="Emphasis"/>
          <w:rFonts w:ascii="Cambria" w:hAnsi="Cambria"/>
          <w:color w:val="575757"/>
          <w:sz w:val="27"/>
          <w:szCs w:val="27"/>
        </w:rPr>
        <w:t>q</w:t>
      </w:r>
      <w:r>
        <w:rPr>
          <w:rFonts w:ascii="Cambria" w:hAnsi="Cambria"/>
          <w:color w:val="575757"/>
          <w:sz w:val="27"/>
          <w:szCs w:val="27"/>
        </w:rPr>
        <w:t>) can greatly influence our ability to evaluate it.</w:t>
      </w:r>
    </w:p>
    <w:p w:rsidR="00670C65" w:rsidRDefault="00670C65" w:rsidP="00670C65">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13-3</w:t>
      </w:r>
      <w:r>
        <w:rPr>
          <w:rStyle w:val="headingtext"/>
          <w:rFonts w:ascii="Tahoma" w:hAnsi="Tahoma" w:cs="Tahoma"/>
          <w:b w:val="0"/>
          <w:bCs w:val="0"/>
          <w:color w:val="007DB8"/>
        </w:rPr>
        <w:t>Decision Making: Choosing Among Alternatives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As we noted at the beginning of the chapter, we make decisions every day, from relatively unimportant ones (what clothes to wear, what movie to see) to those that can have a great impact on our lives (what college to attend, whom to marry, what job to choose). When we discussed the availability and representativeness heuristics, we used examples in which people were asked to make judgments about things like causes of death or people’s occupations. As we discuss decision making, our emphasis will be on how people make judgments that involve choices between different </w:t>
      </w:r>
      <w:r>
        <w:rPr>
          <w:rStyle w:val="Emphasis"/>
          <w:rFonts w:ascii="Cambria" w:hAnsi="Cambria"/>
          <w:color w:val="575757"/>
          <w:sz w:val="27"/>
          <w:szCs w:val="27"/>
        </w:rPr>
        <w:t>courses of action</w:t>
      </w:r>
      <w:r>
        <w:rPr>
          <w:rFonts w:ascii="Cambria" w:hAnsi="Cambria"/>
          <w:color w:val="575757"/>
          <w:sz w:val="27"/>
          <w:szCs w:val="27"/>
        </w:rPr>
        <w:t>. These choices may involve personal decisions, such as what school to attend or whether to fly or drive to a destination, or decisions made in conjunction with a profession, such as “Which advertising campaign should my company run?” or “Which basketball player should we draft?” We begin by considering one of the basic properties of decision making: Decisions involve both benefits and costs.</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13-3a</w:t>
      </w:r>
      <w:r>
        <w:rPr>
          <w:rStyle w:val="headingtext"/>
          <w:rFonts w:ascii="Tahoma" w:hAnsi="Tahoma" w:cs="Tahoma"/>
          <w:color w:val="DF7300"/>
          <w:sz w:val="41"/>
          <w:szCs w:val="41"/>
        </w:rPr>
        <w:t>The Utility Approach to Decisions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Much of the early theorizing on decision making was influenced by </w:t>
      </w:r>
      <w:hyperlink r:id="rId51" w:history="1">
        <w:r>
          <w:rPr>
            <w:rStyle w:val="primaryterm"/>
            <w:rFonts w:ascii="Cambria" w:hAnsi="Cambria"/>
            <w:b/>
            <w:bCs/>
            <w:color w:val="0081BC"/>
            <w:sz w:val="27"/>
            <w:szCs w:val="27"/>
          </w:rPr>
          <w:t>expected utility theory</w:t>
        </w:r>
      </w:hyperlink>
      <w:r>
        <w:rPr>
          <w:rFonts w:ascii="Cambria" w:hAnsi="Cambria"/>
          <w:color w:val="575757"/>
          <w:sz w:val="27"/>
          <w:szCs w:val="27"/>
        </w:rPr>
        <w:t>, which assumes that people are basically rational. According to this theory, if people have all of the relevant information, they will make a decision that results in the maximum expected utility, where </w:t>
      </w:r>
      <w:hyperlink r:id="rId52" w:history="1">
        <w:r>
          <w:rPr>
            <w:rStyle w:val="primaryterm"/>
            <w:rFonts w:ascii="Cambria" w:hAnsi="Cambria"/>
            <w:b/>
            <w:bCs/>
            <w:color w:val="0081BC"/>
            <w:sz w:val="27"/>
            <w:szCs w:val="27"/>
          </w:rPr>
          <w:t>utility</w:t>
        </w:r>
      </w:hyperlink>
      <w:r>
        <w:rPr>
          <w:rFonts w:ascii="Cambria" w:hAnsi="Cambria"/>
          <w:color w:val="575757"/>
          <w:sz w:val="27"/>
          <w:szCs w:val="27"/>
        </w:rPr>
        <w:t xml:space="preserve"> refers to </w:t>
      </w:r>
      <w:r>
        <w:rPr>
          <w:rFonts w:ascii="Cambria" w:hAnsi="Cambria"/>
          <w:color w:val="575757"/>
          <w:sz w:val="27"/>
          <w:szCs w:val="27"/>
        </w:rPr>
        <w:lastRenderedPageBreak/>
        <w:t>outcomes that achieve a person’s goals (</w:t>
      </w:r>
      <w:proofErr w:type="spellStart"/>
      <w:r>
        <w:rPr>
          <w:rStyle w:val="citation"/>
          <w:rFonts w:ascii="Cambria" w:hAnsi="Cambria"/>
          <w:color w:val="575757"/>
          <w:sz w:val="27"/>
          <w:szCs w:val="27"/>
        </w:rPr>
        <w:t>Manktelow</w:t>
      </w:r>
      <w:proofErr w:type="spellEnd"/>
      <w:r>
        <w:rPr>
          <w:rStyle w:val="citation"/>
          <w:rFonts w:ascii="Cambria" w:hAnsi="Cambria"/>
          <w:color w:val="575757"/>
          <w:sz w:val="27"/>
          <w:szCs w:val="27"/>
        </w:rPr>
        <w:t>, 1999</w:t>
      </w:r>
      <w:r>
        <w:rPr>
          <w:rFonts w:ascii="Cambria" w:hAnsi="Cambria"/>
          <w:color w:val="575757"/>
          <w:sz w:val="27"/>
          <w:szCs w:val="27"/>
        </w:rPr>
        <w:t>; </w:t>
      </w:r>
      <w:proofErr w:type="spellStart"/>
      <w:r>
        <w:rPr>
          <w:rStyle w:val="citation"/>
          <w:rFonts w:ascii="Cambria" w:hAnsi="Cambria"/>
          <w:color w:val="575757"/>
          <w:sz w:val="27"/>
          <w:szCs w:val="27"/>
        </w:rPr>
        <w:t>Reber</w:t>
      </w:r>
      <w:proofErr w:type="spellEnd"/>
      <w:r>
        <w:rPr>
          <w:rStyle w:val="citation"/>
          <w:rFonts w:ascii="Cambria" w:hAnsi="Cambria"/>
          <w:color w:val="575757"/>
          <w:sz w:val="27"/>
          <w:szCs w:val="27"/>
        </w:rPr>
        <w:t>, 1995</w:t>
      </w:r>
      <w:r>
        <w:rPr>
          <w:rFonts w:ascii="Cambria" w:hAnsi="Cambria"/>
          <w:color w:val="575757"/>
          <w:sz w:val="27"/>
          <w:szCs w:val="27"/>
        </w:rPr>
        <w:t>). The economists who studied decision making thought about utility in</w:t>
      </w:r>
      <w:bookmarkStart w:id="18" w:name="PageEnd_413"/>
      <w:bookmarkEnd w:id="18"/>
      <w:r>
        <w:rPr>
          <w:rFonts w:ascii="Cambria" w:hAnsi="Cambria"/>
          <w:color w:val="575757"/>
          <w:sz w:val="27"/>
          <w:szCs w:val="27"/>
        </w:rPr>
        <w:t> terms of monetary value; thus, the goal of good decision making was to make choices that resulted in the maximum monetary payoff.</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of the advantages of the utility approach is that it specifies procedures that make it possible to determine which choice would result in the highest monetary value. For example, if we know the odds of winning when playing a slot machine in a casino and also know the cost of playing and the size of the payoff, it is possible to determine that, in the long run, playing slot machines is a losing proposition. But just because it is possible to predict the optimum strategy doesn’t mean that people will follow that strategy. People regularly behave in ways that ignore the optimum way of responding based on probabilities. Even though most people realize that in the long run the casino wins, the huge popularity of gambling indicates that many people have decided to patronize casinos anyway. Observations such as this, as well as the results of many experiments, have led psychologists to conclude that people do not follow the decision-making procedures proposed by expected utility theory.</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Here are some additional examples of situations in which people’s decisions do not maximize the probability of a good outcome. Veronica Denes-Raj and Seymour </w:t>
      </w:r>
      <w:r>
        <w:rPr>
          <w:rStyle w:val="citation"/>
          <w:rFonts w:ascii="Cambria" w:hAnsi="Cambria"/>
          <w:color w:val="575757"/>
          <w:sz w:val="27"/>
          <w:szCs w:val="27"/>
        </w:rPr>
        <w:t>Epstein (</w:t>
      </w:r>
      <w:proofErr w:type="gramStart"/>
      <w:r>
        <w:rPr>
          <w:rStyle w:val="citation"/>
          <w:rFonts w:ascii="Cambria" w:hAnsi="Cambria"/>
          <w:color w:val="575757"/>
          <w:sz w:val="27"/>
          <w:szCs w:val="27"/>
        </w:rPr>
        <w:t>1994)</w:t>
      </w:r>
      <w:r>
        <w:rPr>
          <w:rFonts w:ascii="Cambria" w:hAnsi="Cambria"/>
          <w:color w:val="575757"/>
          <w:sz w:val="27"/>
          <w:szCs w:val="27"/>
        </w:rPr>
        <w:t>offered</w:t>
      </w:r>
      <w:proofErr w:type="gramEnd"/>
      <w:r>
        <w:rPr>
          <w:rFonts w:ascii="Cambria" w:hAnsi="Cambria"/>
          <w:color w:val="575757"/>
          <w:sz w:val="27"/>
          <w:szCs w:val="27"/>
        </w:rPr>
        <w:t xml:space="preserve"> participants the opportunity to earn up to $7 by receiving $1 every time they drew a red jelly bean from a bowl containing red and white jelly beans. When given a choice between drawing from a small bowl containing 1 red and 9 white beans (chances of drawing red = 10 percent; </w:t>
      </w:r>
      <w:hyperlink r:id="rId53" w:history="1">
        <w:r>
          <w:rPr>
            <w:rStyle w:val="Hyperlink"/>
            <w:rFonts w:ascii="Cambria" w:hAnsi="Cambria"/>
            <w:color w:val="007DB8"/>
            <w:sz w:val="27"/>
            <w:szCs w:val="27"/>
          </w:rPr>
          <w:t>Figure 13.9a</w:t>
        </w:r>
      </w:hyperlink>
      <w:r>
        <w:rPr>
          <w:rFonts w:ascii="Cambria" w:hAnsi="Cambria"/>
          <w:color w:val="575757"/>
          <w:sz w:val="27"/>
          <w:szCs w:val="27"/>
        </w:rPr>
        <w:t>) or from a larger bowl containing a smaller proportion of red beans (for example, 7 red beans and 93 white beans, chances of drawing red = 7 percent; </w:t>
      </w:r>
      <w:hyperlink r:id="rId54" w:history="1">
        <w:r>
          <w:rPr>
            <w:rStyle w:val="Hyperlink"/>
            <w:rFonts w:ascii="Cambria" w:hAnsi="Cambria"/>
            <w:color w:val="007DB8"/>
            <w:sz w:val="27"/>
            <w:szCs w:val="27"/>
          </w:rPr>
          <w:t>Figure 13.9b</w:t>
        </w:r>
      </w:hyperlink>
      <w:r>
        <w:rPr>
          <w:rFonts w:ascii="Cambria" w:hAnsi="Cambria"/>
          <w:color w:val="575757"/>
          <w:sz w:val="27"/>
          <w:szCs w:val="27"/>
        </w:rPr>
        <w:t xml:space="preserve">), many participants chose the larger bowl with the less favorable probability. When asked to explain, they reported that even though they knew the probabilities were against them, they somehow felt as if they had a better chance if there were more red beans. Apparently seeing more red beans overpowered </w:t>
      </w:r>
      <w:r>
        <w:rPr>
          <w:rFonts w:ascii="Cambria" w:hAnsi="Cambria"/>
          <w:color w:val="575757"/>
          <w:sz w:val="27"/>
          <w:szCs w:val="27"/>
        </w:rPr>
        <w:lastRenderedPageBreak/>
        <w:t>their knowledge that the probability was lower (they were told how many red and white beans there were on each trial).</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13.9</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Denes-Raj and Epstein (1994) gave participants a choice between randomly picking one jelly bean from (a) a bowl with 1 red bean and 9 white beans or (b) a bowl with 7 red beans and 93 white beans (not all of the white beans are shown in this picture). Participants received money if they picked a red bean.</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Denes-Raj &amp; Epstein, 1994)</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While deciding which bowl to pick jelly beans from is not a particularly important decision, participants’ preference for the lower probability choice shows that they are influenced by considerations other than their knowledge of probabilities. A decision of greater consequence is the real-life decision of whether to travel by car or plane. Although it is well known that the odds are far greater of being killed in a car accident than in a plane crash, a decrease in air travel and an increase in driving occurred following the 9/11 terrorist attacks. According to one calculation, the number of Americans who lost their lives on the road by avoiding the risk of flying was higher than the total number of passengers killed on the four hijacked flights (</w:t>
      </w:r>
      <w:proofErr w:type="spellStart"/>
      <w:r>
        <w:rPr>
          <w:rStyle w:val="citation"/>
          <w:rFonts w:ascii="Cambria" w:hAnsi="Cambria"/>
          <w:color w:val="575757"/>
          <w:sz w:val="27"/>
          <w:szCs w:val="27"/>
        </w:rPr>
        <w:t>Gigerenzer</w:t>
      </w:r>
      <w:proofErr w:type="spellEnd"/>
      <w:r>
        <w:rPr>
          <w:rStyle w:val="citation"/>
          <w:rFonts w:ascii="Cambria" w:hAnsi="Cambria"/>
          <w:color w:val="575757"/>
          <w:sz w:val="27"/>
          <w:szCs w:val="27"/>
        </w:rPr>
        <w:t>, 2004</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idea that people often ignore probabilities when making decisions is also supported by an analysis of how contestants respond in the TV game show </w:t>
      </w:r>
      <w:r>
        <w:rPr>
          <w:rStyle w:val="Emphasis"/>
          <w:rFonts w:ascii="Cambria" w:hAnsi="Cambria"/>
          <w:color w:val="575757"/>
          <w:sz w:val="27"/>
          <w:szCs w:val="27"/>
        </w:rPr>
        <w:t>Deal or No Deal</w:t>
      </w:r>
      <w:r>
        <w:rPr>
          <w:rFonts w:ascii="Cambria" w:hAnsi="Cambria"/>
          <w:color w:val="575757"/>
          <w:sz w:val="27"/>
          <w:szCs w:val="27"/>
        </w:rPr>
        <w:t>, which premiered in the United States in 2005. In this show, a contestant is shown a list of 26 amounts of money, ranging from one cent to a million dollars. Each of these amounts is contained in one of 26 briefcases, which are displayed on stage. The game begins when the contestant picks one of these briefcases to be his or her own. The contestant is entitled to whatever amount of money is contained in that briefcase. The problem, however, is that the contestant doesn’t know how much is in the briefcase, and the only way to find out is to open the remaining 25 briefcases, one by one, until the contestant’s briefcase is the only one left (</w:t>
      </w:r>
      <w:hyperlink r:id="rId55" w:history="1">
        <w:r>
          <w:rPr>
            <w:rStyle w:val="Hyperlink"/>
            <w:rFonts w:ascii="Cambria" w:hAnsi="Cambria"/>
            <w:color w:val="007DB8"/>
            <w:sz w:val="27"/>
            <w:szCs w:val="27"/>
          </w:rPr>
          <w:t>Figure 13.10</w:t>
        </w:r>
      </w:hyperlink>
      <w:r>
        <w:rPr>
          <w:rFonts w:ascii="Cambria" w:hAnsi="Cambria"/>
          <w:color w:val="575757"/>
          <w:sz w:val="27"/>
          <w:szCs w:val="27"/>
        </w:rPr>
        <w:t>).</w:t>
      </w:r>
    </w:p>
    <w:p w:rsidR="00670C65" w:rsidRDefault="00670C65" w:rsidP="00670C65">
      <w:pPr>
        <w:rPr>
          <w:rFonts w:ascii="Tahoma" w:hAnsi="Tahoma" w:cs="Tahoma"/>
          <w:b/>
          <w:bCs/>
          <w:color w:val="C15827"/>
          <w:sz w:val="28"/>
          <w:szCs w:val="28"/>
        </w:rPr>
      </w:pPr>
      <w:bookmarkStart w:id="19" w:name="PageEnd_414"/>
      <w:bookmarkEnd w:id="19"/>
      <w:r>
        <w:rPr>
          <w:rStyle w:val="medialabeltext"/>
          <w:rFonts w:ascii="Tahoma" w:hAnsi="Tahoma" w:cs="Tahoma"/>
          <w:b/>
          <w:bCs/>
          <w:color w:val="535957"/>
          <w:sz w:val="31"/>
          <w:szCs w:val="31"/>
          <w:shd w:val="clear" w:color="auto" w:fill="DAD9E1"/>
        </w:rPr>
        <w:lastRenderedPageBreak/>
        <w:t>Figure </w:t>
      </w:r>
      <w:r>
        <w:rPr>
          <w:rStyle w:val="mediafigurenumber"/>
          <w:rFonts w:ascii="Tahoma" w:hAnsi="Tahoma" w:cs="Tahoma"/>
          <w:b/>
          <w:bCs/>
          <w:color w:val="535957"/>
          <w:sz w:val="31"/>
          <w:szCs w:val="31"/>
          <w:shd w:val="clear" w:color="auto" w:fill="DAD9E1"/>
        </w:rPr>
        <w:t>13.10</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A decision point early in a game on the television show Deal or No Deal. The host, Howie Mandel, on the right, has just asked the contestant whether he wants to accept an offer made by the bank (Deal) or continue the game (No Deal). In the background, models stand next to numbered briefcases that have not yet been opened. Each of these briefcases contains an unknown amount of money. The contestant’s briefcase, not shown here, also contains an unknown amount of money.</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Trae Patton/NBC-TV/</w:t>
      </w:r>
      <w:proofErr w:type="spellStart"/>
      <w:r>
        <w:rPr>
          <w:rFonts w:ascii="Tahoma" w:hAnsi="Tahoma" w:cs="Tahoma"/>
          <w:color w:val="666666"/>
          <w:sz w:val="22"/>
          <w:szCs w:val="22"/>
        </w:rPr>
        <w:t>Kobal</w:t>
      </w:r>
      <w:proofErr w:type="spellEnd"/>
      <w:r>
        <w:rPr>
          <w:rFonts w:ascii="Tahoma" w:hAnsi="Tahoma" w:cs="Tahoma"/>
          <w:color w:val="666666"/>
          <w:sz w:val="22"/>
          <w:szCs w:val="22"/>
        </w:rPr>
        <w:t>/REX/ </w:t>
      </w:r>
      <w:bookmarkStart w:id="20" w:name="CCFBHQMBP46HA0JM2091"/>
      <w:r>
        <w:rPr>
          <w:rFonts w:ascii="Tahoma" w:hAnsi="Tahoma" w:cs="Tahoma"/>
          <w:color w:val="666666"/>
          <w:sz w:val="22"/>
          <w:szCs w:val="22"/>
        </w:rPr>
        <w:fldChar w:fldCharType="begin"/>
      </w:r>
      <w:r>
        <w:rPr>
          <w:rFonts w:ascii="Tahoma" w:hAnsi="Tahoma" w:cs="Tahoma"/>
          <w:color w:val="666666"/>
          <w:sz w:val="22"/>
          <w:szCs w:val="22"/>
        </w:rPr>
        <w:instrText xml:space="preserve"> HYPERLINK "http://shutterstock.com/" \t "_blank" </w:instrText>
      </w:r>
      <w:r>
        <w:rPr>
          <w:rFonts w:ascii="Tahoma" w:hAnsi="Tahoma" w:cs="Tahoma"/>
          <w:color w:val="666666"/>
          <w:sz w:val="22"/>
          <w:szCs w:val="22"/>
        </w:rPr>
        <w:fldChar w:fldCharType="separate"/>
      </w:r>
      <w:r>
        <w:rPr>
          <w:rStyle w:val="Hyperlink"/>
          <w:rFonts w:ascii="Tahoma" w:hAnsi="Tahoma" w:cs="Tahoma"/>
          <w:color w:val="007DB8"/>
          <w:sz w:val="22"/>
          <w:szCs w:val="22"/>
        </w:rPr>
        <w:t>Shutterstock.com</w:t>
      </w:r>
      <w:r>
        <w:rPr>
          <w:rFonts w:ascii="Tahoma" w:hAnsi="Tahoma" w:cs="Tahoma"/>
          <w:color w:val="666666"/>
          <w:sz w:val="22"/>
          <w:szCs w:val="22"/>
        </w:rPr>
        <w:fldChar w:fldCharType="end"/>
      </w:r>
      <w:bookmarkEnd w:id="20"/>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contestant indicates which of the remaining 25 briefcases to open, one by one. Each time the contestant decides on a briefcase number, the model next to that briefcase opens it and reveals how much money is inside. Each dollar amount that is revealed is taken off the list of 26 values. Thus, by looking at the list of values, the contestant can tell which values are out of play (the values in briefcases that have been opened) and which values are still in play. One of the values still in play will be in the contestant’s briefcase, but the contestant doesn’t know which one.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After opening 6 briefcases, the contestant is offered a deal by the bank based on the 20 remaining prizes. At this point, the contestant must choose between taking the guaranteed amount offered by the bank (Deal) or continuing the game (No Deal). The only information that can help the contestant decide is the amount the bank is offering and the list of values that are still in play, one of which is in the contestant’s briefcase. If the contestant rejects the bank’s initial offer, then the contestant opens more briefcases, and the bank will make a new offer. Each time the bank makes an offer, the contestant considers the bank’s offer and the values that are still in play and decides whether to take the bank’s deal or continue the game.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For example, consider the following situation, shown in </w:t>
      </w:r>
      <w:hyperlink r:id="rId56" w:history="1">
        <w:r>
          <w:rPr>
            <w:rStyle w:val="Hyperlink"/>
            <w:rFonts w:ascii="Cambria" w:hAnsi="Cambria"/>
            <w:color w:val="007DB8"/>
            <w:sz w:val="27"/>
            <w:szCs w:val="27"/>
          </w:rPr>
          <w:t>Table 13.4</w:t>
        </w:r>
      </w:hyperlink>
      <w:r>
        <w:rPr>
          <w:rFonts w:ascii="Cambria" w:hAnsi="Cambria"/>
          <w:color w:val="575757"/>
          <w:sz w:val="27"/>
          <w:szCs w:val="27"/>
        </w:rPr>
        <w:t xml:space="preserve">, which occurred in an actual game for a contestant we will call contestant X. The amounts in the left column are the values that were inside the 21 briefcases that contestant X had opened. The amounts in the right column are the values inside the 5 </w:t>
      </w:r>
      <w:r>
        <w:rPr>
          <w:rFonts w:ascii="Cambria" w:hAnsi="Cambria"/>
          <w:color w:val="575757"/>
          <w:sz w:val="27"/>
          <w:szCs w:val="27"/>
        </w:rPr>
        <w:lastRenderedPageBreak/>
        <w:t>briefcases that had not yet been opened. Four of these briefcases were on stage, and the remaining 1 belonged to contestant X. Based on these amounts, the bank made an offer of $80,000. In other words, contestant X had a choice between definitely receiving $80,000 or taking a chance at getting a higher amount listed in the right column. The rational choice would seem to be to take the $80,000, because there was only a 1 in 5 chance of winning $300,000 and all of the other amounts were less than $80,000. Unfortunately, contestant X didn’t take the deal, and the next briefcase opened contained $300,000, taking it out of play. Contestant X then accepted the bank’s new offer of $21,000, ending the game.</w:t>
      </w:r>
    </w:p>
    <w:p w:rsidR="00670C65" w:rsidRDefault="00670C65" w:rsidP="00670C65">
      <w:pPr>
        <w:rPr>
          <w:rFonts w:ascii="Tahoma" w:hAnsi="Tahoma" w:cs="Tahoma"/>
          <w:b/>
          <w:bCs/>
          <w:color w:val="C15827"/>
          <w:sz w:val="28"/>
          <w:szCs w:val="28"/>
        </w:rPr>
      </w:pPr>
      <w:bookmarkStart w:id="21" w:name="PageEnd_415"/>
      <w:bookmarkEnd w:id="21"/>
      <w:r>
        <w:rPr>
          <w:rStyle w:val="medialabeltext"/>
          <w:rFonts w:ascii="Tahoma" w:hAnsi="Tahoma" w:cs="Tahoma"/>
          <w:b/>
          <w:bCs/>
          <w:color w:val="C15827"/>
          <w:sz w:val="31"/>
          <w:szCs w:val="31"/>
          <w:shd w:val="clear" w:color="auto" w:fill="80B33D"/>
        </w:rPr>
        <w:t>Table </w:t>
      </w:r>
      <w:r>
        <w:rPr>
          <w:rStyle w:val="mediafigurenumber"/>
          <w:rFonts w:ascii="Tahoma" w:hAnsi="Tahoma" w:cs="Tahoma"/>
          <w:b/>
          <w:bCs/>
          <w:color w:val="C15827"/>
          <w:sz w:val="31"/>
          <w:szCs w:val="31"/>
          <w:shd w:val="clear" w:color="auto" w:fill="80B33D"/>
        </w:rPr>
        <w:t>13.4</w:t>
      </w:r>
      <w:r>
        <w:rPr>
          <w:rStyle w:val="mediaassettitle"/>
          <w:rFonts w:ascii="Tahoma" w:hAnsi="Tahoma" w:cs="Tahoma"/>
          <w:b/>
          <w:bCs/>
          <w:color w:val="C15827"/>
          <w:sz w:val="31"/>
          <w:szCs w:val="31"/>
          <w:bdr w:val="none" w:sz="0" w:space="0" w:color="auto" w:frame="1"/>
        </w:rPr>
        <w:t>Deal or No Deal Payoffs</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Thierry Post and coworkers (2008) analyzed contestants’ responses in hundreds of games and concluded that the contestants’ choices are determined not just by the amounts of money left in the briefcases but by what has happened leading up to their decision. Post found that if things are going well for the contestant (they have opened a number of small money briefcases) and the bank begins offering more and more, the contestant is likely to be cautious and accept a deal early. In contrast, when contestants are doing poorly (having opened a number of large denomination briefcases, taking those amounts out of play) and the bank’s offers go down, they are likely to take more risks and keep playing. Post suggests that one reason for this behavior of contestants who are doing poorly is that they want to avoid the negative feeling of being a loser. They therefore take more risks in the hope of “beating the odds” and coming out ahead in the end. This is probably what happened to contestant X, with unfortunate results. What seems to be happening here is that contestants’ decisions are swayed by their emotions. We will now describe a number of examples of how decision making is influenced by emotions and also by other factors not considered by utility theory.</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13-3b</w:t>
      </w:r>
      <w:r>
        <w:rPr>
          <w:rStyle w:val="headingtext"/>
          <w:rFonts w:ascii="Tahoma" w:hAnsi="Tahoma" w:cs="Tahoma"/>
          <w:color w:val="DF7300"/>
          <w:sz w:val="41"/>
          <w:szCs w:val="41"/>
        </w:rPr>
        <w:t>How Emotions Affect Decisions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Personal emotional qualities have been linked to decision making. For instance, anxious people tend to avoid making </w:t>
      </w:r>
      <w:r>
        <w:rPr>
          <w:rFonts w:ascii="Cambria" w:hAnsi="Cambria"/>
          <w:color w:val="575757"/>
          <w:sz w:val="27"/>
          <w:szCs w:val="27"/>
        </w:rPr>
        <w:lastRenderedPageBreak/>
        <w:t>decisions that could potentially lead to large negative consequences, a response called </w:t>
      </w:r>
      <w:r>
        <w:rPr>
          <w:rStyle w:val="Emphasis"/>
          <w:rFonts w:ascii="Cambria" w:hAnsi="Cambria"/>
          <w:color w:val="575757"/>
          <w:sz w:val="27"/>
          <w:szCs w:val="27"/>
        </w:rPr>
        <w:t>risk avoidance</w:t>
      </w:r>
      <w:r>
        <w:rPr>
          <w:rFonts w:ascii="Cambria" w:hAnsi="Cambria"/>
          <w:color w:val="575757"/>
          <w:sz w:val="27"/>
          <w:szCs w:val="27"/>
        </w:rPr>
        <w:t> that we will return to shortly (</w:t>
      </w:r>
      <w:proofErr w:type="spellStart"/>
      <w:r>
        <w:rPr>
          <w:rStyle w:val="citation"/>
          <w:rFonts w:ascii="Cambria" w:eastAsiaTheme="majorEastAsia" w:hAnsi="Cambria"/>
          <w:color w:val="575757"/>
          <w:sz w:val="27"/>
          <w:szCs w:val="27"/>
        </w:rPr>
        <w:t>Maner</w:t>
      </w:r>
      <w:proofErr w:type="spellEnd"/>
      <w:r>
        <w:rPr>
          <w:rStyle w:val="citation"/>
          <w:rFonts w:ascii="Cambria" w:eastAsiaTheme="majorEastAsia" w:hAnsi="Cambria"/>
          <w:color w:val="575757"/>
          <w:sz w:val="27"/>
          <w:szCs w:val="27"/>
        </w:rPr>
        <w:t xml:space="preserve"> &amp; Schmidt, 2006</w:t>
      </w:r>
      <w:r>
        <w:rPr>
          <w:rFonts w:ascii="Cambria" w:hAnsi="Cambria"/>
          <w:color w:val="575757"/>
          <w:sz w:val="27"/>
          <w:szCs w:val="27"/>
        </w:rPr>
        <w:t>; Paulus &amp; </w:t>
      </w:r>
      <w:r>
        <w:rPr>
          <w:rStyle w:val="citation"/>
          <w:rFonts w:ascii="Cambria" w:eastAsiaTheme="majorEastAsia" w:hAnsi="Cambria"/>
          <w:color w:val="575757"/>
          <w:sz w:val="27"/>
          <w:szCs w:val="27"/>
        </w:rPr>
        <w:t>Yu, 2012</w:t>
      </w:r>
      <w:r>
        <w:rPr>
          <w:rFonts w:ascii="Cambria" w:hAnsi="Cambria"/>
          <w:color w:val="575757"/>
          <w:sz w:val="27"/>
          <w:szCs w:val="27"/>
        </w:rPr>
        <w:t>). Another example is the quality of optimism, which is often considered a positive personal quality. However, optimistic people are more likely to ignore negative information and focus on positive information, causing them to base their decisions on incomplete information. Too much optimism can therefore lead to poor decision making (</w:t>
      </w:r>
      <w:proofErr w:type="spellStart"/>
      <w:r>
        <w:rPr>
          <w:rStyle w:val="citation"/>
          <w:rFonts w:ascii="Cambria" w:eastAsiaTheme="majorEastAsia" w:hAnsi="Cambria"/>
          <w:color w:val="575757"/>
          <w:sz w:val="27"/>
          <w:szCs w:val="27"/>
        </w:rPr>
        <w:t>Izuma</w:t>
      </w:r>
      <w:proofErr w:type="spellEnd"/>
      <w:r>
        <w:rPr>
          <w:rStyle w:val="citation"/>
          <w:rFonts w:ascii="Cambria" w:eastAsiaTheme="majorEastAsia" w:hAnsi="Cambria"/>
          <w:color w:val="575757"/>
          <w:sz w:val="27"/>
          <w:szCs w:val="27"/>
        </w:rPr>
        <w:t xml:space="preserve"> &amp; </w:t>
      </w:r>
      <w:proofErr w:type="spellStart"/>
      <w:r>
        <w:rPr>
          <w:rStyle w:val="citation"/>
          <w:rFonts w:ascii="Cambria" w:eastAsiaTheme="majorEastAsia" w:hAnsi="Cambria"/>
          <w:color w:val="575757"/>
          <w:sz w:val="27"/>
          <w:szCs w:val="27"/>
        </w:rPr>
        <w:t>Adolphs</w:t>
      </w:r>
      <w:proofErr w:type="spellEnd"/>
      <w:r>
        <w:rPr>
          <w:rStyle w:val="citation"/>
          <w:rFonts w:ascii="Cambria" w:eastAsiaTheme="majorEastAsia" w:hAnsi="Cambria"/>
          <w:color w:val="575757"/>
          <w:sz w:val="27"/>
          <w:szCs w:val="27"/>
        </w:rPr>
        <w:t>, 2011</w:t>
      </w:r>
      <w:r>
        <w:rPr>
          <w:rFonts w:ascii="Cambria" w:hAnsi="Cambria"/>
          <w:color w:val="575757"/>
          <w:sz w:val="27"/>
          <w:szCs w:val="27"/>
        </w:rPr>
        <w:t>; </w:t>
      </w:r>
      <w:proofErr w:type="spellStart"/>
      <w:r>
        <w:rPr>
          <w:rStyle w:val="citation"/>
          <w:rFonts w:ascii="Cambria" w:eastAsiaTheme="majorEastAsia" w:hAnsi="Cambria"/>
          <w:color w:val="575757"/>
          <w:sz w:val="27"/>
          <w:szCs w:val="27"/>
        </w:rPr>
        <w:t>Sharot</w:t>
      </w:r>
      <w:proofErr w:type="spellEnd"/>
      <w:r>
        <w:rPr>
          <w:rStyle w:val="citation"/>
          <w:rFonts w:ascii="Cambria" w:eastAsiaTheme="majorEastAsia" w:hAnsi="Cambria"/>
          <w:color w:val="575757"/>
          <w:sz w:val="27"/>
          <w:szCs w:val="27"/>
        </w:rPr>
        <w:t xml:space="preserve"> et al., 2011</w:t>
      </w:r>
      <w:r>
        <w:rPr>
          <w:rFonts w:ascii="Cambria" w:hAnsi="Cambria"/>
          <w:color w:val="575757"/>
          <w:sz w:val="27"/>
          <w:szCs w:val="27"/>
        </w:rPr>
        <w:t>). We will now consider research that has considered a number of other ways that emotions can affect decisions.</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People Inaccurately Predict Their Emotions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of the most powerful effects of emotion on decision making involves </w:t>
      </w:r>
      <w:hyperlink r:id="rId57" w:history="1">
        <w:r>
          <w:rPr>
            <w:rStyle w:val="primaryterm"/>
            <w:rFonts w:ascii="Cambria" w:hAnsi="Cambria"/>
            <w:b/>
            <w:bCs/>
            <w:color w:val="0081BC"/>
            <w:sz w:val="27"/>
            <w:szCs w:val="27"/>
          </w:rPr>
          <w:t>expected emotions</w:t>
        </w:r>
      </w:hyperlink>
      <w:r>
        <w:rPr>
          <w:rFonts w:ascii="Cambria" w:hAnsi="Cambria"/>
          <w:color w:val="575757"/>
          <w:sz w:val="27"/>
          <w:szCs w:val="27"/>
        </w:rPr>
        <w:t>, emotions that people </w:t>
      </w:r>
      <w:r>
        <w:rPr>
          <w:rStyle w:val="Emphasis"/>
          <w:rFonts w:ascii="Cambria" w:hAnsi="Cambria"/>
          <w:color w:val="575757"/>
          <w:sz w:val="27"/>
          <w:szCs w:val="27"/>
        </w:rPr>
        <w:t>predict</w:t>
      </w:r>
      <w:r>
        <w:rPr>
          <w:rFonts w:ascii="Cambria" w:hAnsi="Cambria"/>
          <w:color w:val="575757"/>
          <w:sz w:val="27"/>
          <w:szCs w:val="27"/>
        </w:rPr>
        <w:t> they will feel for a particular outcome. For example, a </w:t>
      </w:r>
      <w:r>
        <w:rPr>
          <w:rStyle w:val="Emphasis"/>
          <w:rFonts w:ascii="Cambria" w:hAnsi="Cambria"/>
          <w:color w:val="575757"/>
          <w:sz w:val="27"/>
          <w:szCs w:val="27"/>
        </w:rPr>
        <w:t>Deal or No Deal</w:t>
      </w:r>
      <w:r>
        <w:rPr>
          <w:rFonts w:ascii="Cambria" w:hAnsi="Cambria"/>
          <w:color w:val="575757"/>
          <w:sz w:val="27"/>
          <w:szCs w:val="27"/>
        </w:rPr>
        <w:t> contestant might think about a choice in terms of how good she will feel about accepting the bank’s offer of $125,000 (even though she could potentially win $500,000), how great she will feel if she wins the $500,000, but also how bad she will feel if she doesn’t accept the bank’s offer and finds out there is only $10 in her briefcase.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Expected emotions are one of the determinants of </w:t>
      </w:r>
      <w:hyperlink r:id="rId58" w:history="1">
        <w:r>
          <w:rPr>
            <w:rStyle w:val="primaryterm"/>
            <w:rFonts w:ascii="Cambria" w:hAnsi="Cambria"/>
            <w:b/>
            <w:bCs/>
            <w:color w:val="0081BC"/>
            <w:sz w:val="27"/>
            <w:szCs w:val="27"/>
          </w:rPr>
          <w:t>risk aversion</w:t>
        </w:r>
      </w:hyperlink>
      <w:r>
        <w:rPr>
          <w:rFonts w:ascii="Cambria" w:hAnsi="Cambria"/>
          <w:color w:val="575757"/>
          <w:sz w:val="27"/>
          <w:szCs w:val="27"/>
        </w:rPr>
        <w:t>—the tendency to avoid taking risks. One of the things that increases the chance of risk aversion is the tendency to predict that a particular loss will have a greater impact than a gain of the same size (</w:t>
      </w:r>
      <w:r>
        <w:rPr>
          <w:rStyle w:val="citation"/>
          <w:rFonts w:ascii="Cambria" w:eastAsiaTheme="majorEastAsia" w:hAnsi="Cambria"/>
          <w:color w:val="575757"/>
          <w:sz w:val="27"/>
          <w:szCs w:val="27"/>
        </w:rPr>
        <w:t>Tversky &amp; Kahneman, 1991</w:t>
      </w:r>
      <w:r>
        <w:rPr>
          <w:rFonts w:ascii="Cambria" w:hAnsi="Cambria"/>
          <w:color w:val="575757"/>
          <w:sz w:val="27"/>
          <w:szCs w:val="27"/>
        </w:rPr>
        <w:t>). For example, if people predict that it would be very disturbing to lose $100 but only slightly pleasant to win $100, then this would cause them to decline a bet for which the odds are 50–50, such as flipping a coin (win $100 for heads; lose $100 for tails). In fact, because of this effect, some people are reluctant to take a bet in which there is a 50 percent chance of winning $200 and a 50 percent chance of losing $100, even though in accordance with utility theory, this would be a good bet (</w:t>
      </w:r>
      <w:proofErr w:type="spellStart"/>
      <w:r>
        <w:rPr>
          <w:rStyle w:val="citation"/>
          <w:rFonts w:ascii="Cambria" w:eastAsiaTheme="majorEastAsia" w:hAnsi="Cambria"/>
          <w:color w:val="575757"/>
          <w:sz w:val="27"/>
          <w:szCs w:val="27"/>
        </w:rPr>
        <w:t>Kermer</w:t>
      </w:r>
      <w:proofErr w:type="spellEnd"/>
      <w:r>
        <w:rPr>
          <w:rStyle w:val="citation"/>
          <w:rFonts w:ascii="Cambria" w:eastAsiaTheme="majorEastAsia" w:hAnsi="Cambria"/>
          <w:color w:val="575757"/>
          <w:sz w:val="27"/>
          <w:szCs w:val="27"/>
        </w:rPr>
        <w:t xml:space="preserve"> et al., 2006</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Deborah </w:t>
      </w:r>
      <w:proofErr w:type="spellStart"/>
      <w:r>
        <w:rPr>
          <w:rFonts w:ascii="Cambria" w:hAnsi="Cambria"/>
          <w:color w:val="575757"/>
          <w:sz w:val="27"/>
          <w:szCs w:val="27"/>
        </w:rPr>
        <w:t>Kermer</w:t>
      </w:r>
      <w:proofErr w:type="spellEnd"/>
      <w:r>
        <w:rPr>
          <w:rFonts w:ascii="Cambria" w:hAnsi="Cambria"/>
          <w:color w:val="575757"/>
          <w:sz w:val="27"/>
          <w:szCs w:val="27"/>
        </w:rPr>
        <w:t xml:space="preserve"> and coworkers (2006) studied this effect by doing an experiment that compared people’s expected emotions with their actual emotions. They gave participants $5 and told </w:t>
      </w:r>
      <w:r>
        <w:rPr>
          <w:rFonts w:ascii="Cambria" w:hAnsi="Cambria"/>
          <w:color w:val="575757"/>
          <w:sz w:val="27"/>
          <w:szCs w:val="27"/>
        </w:rPr>
        <w:lastRenderedPageBreak/>
        <w:t>them that based on a coin flip they would either win an additional $5 or lose $3. Participants rated their happiness before the experiment started and then predicted how their happiness would change if they won the coin toss (gain $5, so they have $10) or lost it (lose $3, so they have $2). The results of these ratings are indicated by the left pair of bars in </w:t>
      </w:r>
      <w:hyperlink r:id="rId59" w:history="1">
        <w:r>
          <w:rPr>
            <w:rStyle w:val="Hyperlink"/>
            <w:rFonts w:ascii="Cambria" w:hAnsi="Cambria"/>
            <w:color w:val="007DB8"/>
            <w:sz w:val="27"/>
            <w:szCs w:val="27"/>
          </w:rPr>
          <w:t>Figure 13.11</w:t>
        </w:r>
      </w:hyperlink>
      <w:r>
        <w:rPr>
          <w:rFonts w:ascii="Cambria" w:hAnsi="Cambria"/>
          <w:color w:val="575757"/>
          <w:sz w:val="27"/>
          <w:szCs w:val="27"/>
        </w:rPr>
        <w:t>. Notice that before the experiment, the participants predicted that the negative effect of losing $3 would be greater than the positive effect of winning $5.</w:t>
      </w:r>
    </w:p>
    <w:p w:rsidR="00670C65" w:rsidRDefault="00670C65" w:rsidP="00670C65">
      <w:pPr>
        <w:rPr>
          <w:rFonts w:ascii="Tahoma" w:hAnsi="Tahoma" w:cs="Tahoma"/>
          <w:b/>
          <w:bCs/>
          <w:color w:val="C15827"/>
          <w:sz w:val="28"/>
          <w:szCs w:val="28"/>
        </w:rPr>
      </w:pPr>
      <w:bookmarkStart w:id="22" w:name="PageEnd_416"/>
      <w:bookmarkEnd w:id="22"/>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13.11</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The results of </w:t>
      </w:r>
      <w:proofErr w:type="spellStart"/>
      <w:r>
        <w:rPr>
          <w:rFonts w:ascii="Tahoma" w:hAnsi="Tahoma" w:cs="Tahoma"/>
          <w:color w:val="575757"/>
          <w:sz w:val="29"/>
          <w:szCs w:val="29"/>
        </w:rPr>
        <w:t>Kermer</w:t>
      </w:r>
      <w:proofErr w:type="spellEnd"/>
      <w:r>
        <w:rPr>
          <w:rFonts w:ascii="Tahoma" w:hAnsi="Tahoma" w:cs="Tahoma"/>
          <w:color w:val="575757"/>
          <w:sz w:val="29"/>
          <w:szCs w:val="29"/>
        </w:rPr>
        <w:t xml:space="preserve"> et al.’s (2006) experiments showing that people greatly overestimate the expected negative effect of losing (left red bar), compared to the actual effect of losing (right red bar). The blue bars indicate that people only slightly overestimate the expected positive effect of winning (left blue bar), compared to the actual effect of winning (right blue bar).</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proofErr w:type="spellStart"/>
      <w:r>
        <w:rPr>
          <w:rStyle w:val="citation"/>
          <w:rFonts w:ascii="Tahoma" w:hAnsi="Tahoma" w:cs="Tahoma"/>
          <w:color w:val="666666"/>
          <w:sz w:val="22"/>
          <w:szCs w:val="22"/>
        </w:rPr>
        <w:t>Kermer</w:t>
      </w:r>
      <w:proofErr w:type="spellEnd"/>
      <w:r>
        <w:rPr>
          <w:rStyle w:val="citation"/>
          <w:rFonts w:ascii="Tahoma" w:hAnsi="Tahoma" w:cs="Tahoma"/>
          <w:color w:val="666666"/>
          <w:sz w:val="22"/>
          <w:szCs w:val="22"/>
        </w:rPr>
        <w:t xml:space="preserve"> et al., 2006</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After the coin flip, in which some participants won and some lost, they carried out a filler task for 10 minutes and then rated their happiness. The bars on the right show that the actual effect of losing was substantially less than predicted, but the positive effect of winning was only a little less than predicted. So, after their gamble, the positive effect of winning and negative effect of losing turned out to be about equal.</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Why do people overestimate what their negative feelings will be? One reason is that when making their prediction, they don’t take into account the various coping mechanisms they may use to deal with adversity. For example, a person who doesn’t get a job he wanted might rationalize the failure by saying “The salary wasn’t what I really wanted” or “I’ll find something better.” In </w:t>
      </w:r>
      <w:proofErr w:type="spellStart"/>
      <w:r>
        <w:rPr>
          <w:rFonts w:ascii="Cambria" w:hAnsi="Cambria"/>
          <w:color w:val="575757"/>
          <w:sz w:val="27"/>
          <w:szCs w:val="27"/>
        </w:rPr>
        <w:t>Kermer’s</w:t>
      </w:r>
      <w:proofErr w:type="spellEnd"/>
      <w:r>
        <w:rPr>
          <w:rFonts w:ascii="Cambria" w:hAnsi="Cambria"/>
          <w:color w:val="575757"/>
          <w:sz w:val="27"/>
          <w:szCs w:val="27"/>
        </w:rPr>
        <w:t xml:space="preserve"> experiment, when participants predicted how they would feel if they lost, they focused on losing $5, but after the outcome was determined, participants who actually lost focused on the fact that they still had $2 left.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 xml:space="preserve">The results of </w:t>
      </w:r>
      <w:proofErr w:type="spellStart"/>
      <w:r>
        <w:rPr>
          <w:rFonts w:ascii="Cambria" w:hAnsi="Cambria"/>
          <w:color w:val="575757"/>
          <w:sz w:val="27"/>
          <w:szCs w:val="27"/>
        </w:rPr>
        <w:t>Kermer’s</w:t>
      </w:r>
      <w:proofErr w:type="spellEnd"/>
      <w:r>
        <w:rPr>
          <w:rFonts w:ascii="Cambria" w:hAnsi="Cambria"/>
          <w:color w:val="575757"/>
          <w:sz w:val="27"/>
          <w:szCs w:val="27"/>
        </w:rPr>
        <w:t xml:space="preserve"> experiment, plus others, show that the inability to correctly predict the emotional outcome of a decision can lead to inefficient decision making (</w:t>
      </w:r>
      <w:r>
        <w:rPr>
          <w:rStyle w:val="citation"/>
          <w:rFonts w:ascii="Cambria" w:eastAsiaTheme="majorEastAsia" w:hAnsi="Cambria"/>
          <w:color w:val="575757"/>
          <w:sz w:val="27"/>
          <w:szCs w:val="27"/>
        </w:rPr>
        <w:t>Peters et al., 2006</w:t>
      </w:r>
      <w:r>
        <w:rPr>
          <w:rFonts w:ascii="Cambria" w:hAnsi="Cambria"/>
          <w:color w:val="575757"/>
          <w:sz w:val="27"/>
          <w:szCs w:val="27"/>
        </w:rPr>
        <w:t>; Wilson &amp; </w:t>
      </w:r>
      <w:r>
        <w:rPr>
          <w:rStyle w:val="citation"/>
          <w:rFonts w:ascii="Cambria" w:eastAsiaTheme="majorEastAsia" w:hAnsi="Cambria"/>
          <w:color w:val="575757"/>
          <w:sz w:val="27"/>
          <w:szCs w:val="27"/>
        </w:rPr>
        <w:t>Gilbert, 2003</w:t>
      </w:r>
      <w:r>
        <w:rPr>
          <w:rFonts w:ascii="Cambria" w:hAnsi="Cambria"/>
          <w:color w:val="575757"/>
          <w:sz w:val="27"/>
          <w:szCs w:val="27"/>
        </w:rPr>
        <w:t>). We will now see how emotions that aren’t even related to making the decision can affect the decision.</w:t>
      </w:r>
    </w:p>
    <w:p w:rsidR="00670C65" w:rsidRDefault="00670C65" w:rsidP="00670C65">
      <w:pPr>
        <w:pStyle w:val="Heading3"/>
        <w:shd w:val="clear" w:color="auto" w:fill="FFFFFF"/>
        <w:spacing w:before="0" w:after="75"/>
        <w:ind w:left="975" w:right="1500"/>
        <w:rPr>
          <w:rFonts w:ascii="Tahoma" w:hAnsi="Tahoma" w:cs="Tahoma"/>
          <w:color w:val="B03F3B"/>
          <w:sz w:val="35"/>
          <w:szCs w:val="35"/>
        </w:rPr>
      </w:pPr>
      <w:r>
        <w:rPr>
          <w:rStyle w:val="headingtext"/>
          <w:rFonts w:ascii="Tahoma" w:hAnsi="Tahoma" w:cs="Tahoma"/>
          <w:color w:val="B03F3B"/>
          <w:sz w:val="31"/>
          <w:szCs w:val="31"/>
        </w:rPr>
        <w:t>Incidental Emotions Affect Decisions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hyperlink r:id="rId60" w:history="1">
        <w:r>
          <w:rPr>
            <w:rStyle w:val="primaryterm"/>
            <w:rFonts w:ascii="Cambria" w:hAnsi="Cambria"/>
            <w:b/>
            <w:bCs/>
            <w:color w:val="0081BC"/>
            <w:sz w:val="27"/>
            <w:szCs w:val="27"/>
          </w:rPr>
          <w:t>Incidental emotions</w:t>
        </w:r>
      </w:hyperlink>
      <w:r>
        <w:rPr>
          <w:rFonts w:ascii="Cambria" w:hAnsi="Cambria"/>
          <w:color w:val="575757"/>
          <w:sz w:val="27"/>
          <w:szCs w:val="27"/>
        </w:rPr>
        <w:t> are emotions that are not caused by having to make a decision. Incidental emotions can be related to a person’s general disposition (the person is naturally happy, for example), something that happened earlier in the day, or the general environment such as background music being played in a game show or the cheers of the game show audience.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How might the fact that you feel happy or sad, or are in an environment that causes positive or negative feelings, affect your decisions? There is evidence that decision making is affected by these incidental emotions, even though they are not directly related to the decision. For example, in a paper titled “Clouds Make Nerds Look Good,” Uri </w:t>
      </w:r>
      <w:proofErr w:type="spellStart"/>
      <w:r>
        <w:rPr>
          <w:rStyle w:val="citation"/>
          <w:rFonts w:ascii="Cambria" w:eastAsiaTheme="majorEastAsia" w:hAnsi="Cambria"/>
          <w:color w:val="575757"/>
          <w:sz w:val="27"/>
          <w:szCs w:val="27"/>
        </w:rPr>
        <w:t>Simonsohn</w:t>
      </w:r>
      <w:proofErr w:type="spellEnd"/>
      <w:r>
        <w:rPr>
          <w:rStyle w:val="citation"/>
          <w:rFonts w:ascii="Cambria" w:eastAsiaTheme="majorEastAsia" w:hAnsi="Cambria"/>
          <w:color w:val="575757"/>
          <w:sz w:val="27"/>
          <w:szCs w:val="27"/>
        </w:rPr>
        <w:t xml:space="preserve"> (</w:t>
      </w:r>
      <w:proofErr w:type="gramStart"/>
      <w:r>
        <w:rPr>
          <w:rStyle w:val="citation"/>
          <w:rFonts w:ascii="Cambria" w:eastAsiaTheme="majorEastAsia" w:hAnsi="Cambria"/>
          <w:color w:val="575757"/>
          <w:sz w:val="27"/>
          <w:szCs w:val="27"/>
        </w:rPr>
        <w:t>2007)</w:t>
      </w:r>
      <w:r>
        <w:rPr>
          <w:rFonts w:ascii="Cambria" w:hAnsi="Cambria"/>
          <w:color w:val="575757"/>
          <w:sz w:val="27"/>
          <w:szCs w:val="27"/>
        </w:rPr>
        <w:t>reports</w:t>
      </w:r>
      <w:proofErr w:type="gramEnd"/>
      <w:r>
        <w:rPr>
          <w:rFonts w:ascii="Cambria" w:hAnsi="Cambria"/>
          <w:color w:val="575757"/>
          <w:sz w:val="27"/>
          <w:szCs w:val="27"/>
        </w:rPr>
        <w:t xml:space="preserve"> an analysis of university admissions decisions in which he found that applicants’ academic attributes were more heavily weighted on cloudy days than on sunny days (nonacademic attributes won out on sunny days). In another study, he found that prospective students visiting an academically highly rated university were more likely to enroll if they had visited the campus on a cloudy day (</w:t>
      </w:r>
      <w:proofErr w:type="spellStart"/>
      <w:r>
        <w:rPr>
          <w:rStyle w:val="citation"/>
          <w:rFonts w:ascii="Cambria" w:eastAsiaTheme="majorEastAsia" w:hAnsi="Cambria"/>
          <w:color w:val="575757"/>
          <w:sz w:val="27"/>
          <w:szCs w:val="27"/>
        </w:rPr>
        <w:t>Simonsohn</w:t>
      </w:r>
      <w:proofErr w:type="spellEnd"/>
      <w:r>
        <w:rPr>
          <w:rStyle w:val="citation"/>
          <w:rFonts w:ascii="Cambria" w:eastAsiaTheme="majorEastAsia" w:hAnsi="Cambria"/>
          <w:color w:val="575757"/>
          <w:sz w:val="27"/>
          <w:szCs w:val="27"/>
        </w:rPr>
        <w:t>, 2009</w:t>
      </w:r>
      <w:r>
        <w:rPr>
          <w:rFonts w:ascii="Cambria" w:hAnsi="Cambria"/>
          <w:color w:val="575757"/>
          <w:sz w:val="27"/>
          <w:szCs w:val="27"/>
        </w:rPr>
        <w:t>).</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13-3c</w:t>
      </w:r>
      <w:r>
        <w:rPr>
          <w:rStyle w:val="headingtext"/>
          <w:rFonts w:ascii="Tahoma" w:hAnsi="Tahoma" w:cs="Tahoma"/>
          <w:color w:val="DF7300"/>
          <w:sz w:val="41"/>
          <w:szCs w:val="41"/>
        </w:rPr>
        <w:t>Decisions Can Depend on the Context Within Which They Are Made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Evidence that decisions can be influenced by context comes from experiments that show that adding alternatives to be considered as possible choices can influence decisions. For example, in a study that asked physicians whether they would prescribe arthritis medication to a hypothetical 67-year-old patient, 72 percent opted to prescribe medication when their choice was to prescribe a specific medication or not to prescribe anything. However, when a second possible medication was added, so the choice became whether to prescribe medication 1, </w:t>
      </w:r>
      <w:r>
        <w:rPr>
          <w:rFonts w:ascii="Cambria" w:hAnsi="Cambria"/>
          <w:color w:val="575757"/>
          <w:sz w:val="27"/>
          <w:szCs w:val="27"/>
        </w:rPr>
        <w:lastRenderedPageBreak/>
        <w:t>medication 2, or nothing, only 53 percent opted to prescribe medication. Apparently, being faced with a more difficult decision can lead to making no decision at all (</w:t>
      </w:r>
      <w:proofErr w:type="spellStart"/>
      <w:r>
        <w:rPr>
          <w:rStyle w:val="citation"/>
          <w:rFonts w:ascii="Cambria" w:hAnsi="Cambria"/>
          <w:color w:val="575757"/>
          <w:sz w:val="27"/>
          <w:szCs w:val="27"/>
        </w:rPr>
        <w:t>Redelmeier</w:t>
      </w:r>
      <w:proofErr w:type="spellEnd"/>
      <w:r>
        <w:rPr>
          <w:rStyle w:val="citation"/>
          <w:rFonts w:ascii="Cambria" w:hAnsi="Cambria"/>
          <w:color w:val="575757"/>
          <w:sz w:val="27"/>
          <w:szCs w:val="27"/>
        </w:rPr>
        <w:t xml:space="preserve"> &amp; </w:t>
      </w:r>
      <w:proofErr w:type="spellStart"/>
      <w:r>
        <w:rPr>
          <w:rStyle w:val="citation"/>
          <w:rFonts w:ascii="Cambria" w:hAnsi="Cambria"/>
          <w:color w:val="575757"/>
          <w:sz w:val="27"/>
          <w:szCs w:val="27"/>
        </w:rPr>
        <w:t>Shafir</w:t>
      </w:r>
      <w:proofErr w:type="spellEnd"/>
      <w:r>
        <w:rPr>
          <w:rStyle w:val="citation"/>
          <w:rFonts w:ascii="Cambria" w:hAnsi="Cambria"/>
          <w:color w:val="575757"/>
          <w:sz w:val="27"/>
          <w:szCs w:val="27"/>
        </w:rPr>
        <w:t>, 1995</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Another example of how context can affect medical decision making is provided by an experiment in which physicians were presented with a hypothetical test case involving a possible candidate for cesarean section (</w:t>
      </w:r>
      <w:r>
        <w:rPr>
          <w:rStyle w:val="citation"/>
          <w:rFonts w:ascii="Cambria" w:hAnsi="Cambria"/>
          <w:color w:val="575757"/>
          <w:sz w:val="27"/>
          <w:szCs w:val="27"/>
        </w:rPr>
        <w:t>Shen et al., 2010</w:t>
      </w:r>
      <w:r>
        <w:rPr>
          <w:rFonts w:ascii="Cambria" w:hAnsi="Cambria"/>
          <w:color w:val="575757"/>
          <w:sz w:val="27"/>
          <w:szCs w:val="27"/>
        </w:rPr>
        <w:t>). The decision whether to opt for cesarean section was made under three different contexts:</w:t>
      </w:r>
    </w:p>
    <w:p w:rsidR="00670C65" w:rsidRDefault="00670C65" w:rsidP="00670C65">
      <w:pPr>
        <w:numPr>
          <w:ilvl w:val="0"/>
          <w:numId w:val="7"/>
        </w:numPr>
        <w:shd w:val="clear" w:color="auto" w:fill="FFFFFF"/>
        <w:spacing w:after="150"/>
        <w:ind w:left="975" w:right="975"/>
        <w:rPr>
          <w:rFonts w:ascii="Cambria" w:hAnsi="Cambria"/>
          <w:color w:val="575757"/>
          <w:sz w:val="27"/>
          <w:szCs w:val="27"/>
        </w:rPr>
      </w:pPr>
      <w:r>
        <w:rPr>
          <w:rStyle w:val="manuallabel"/>
          <w:rFonts w:ascii="Cambria" w:hAnsi="Cambria"/>
          <w:color w:val="575757"/>
          <w:sz w:val="27"/>
          <w:szCs w:val="27"/>
        </w:rPr>
        <w:t>(1)</w:t>
      </w:r>
    </w:p>
    <w:p w:rsidR="00670C65" w:rsidRDefault="00670C65" w:rsidP="00670C65">
      <w:pPr>
        <w:pStyle w:val="NormalWeb"/>
        <w:shd w:val="clear" w:color="auto" w:fill="FFFFFF"/>
        <w:spacing w:before="0" w:beforeAutospacing="0" w:after="105" w:afterAutospacing="0"/>
        <w:ind w:left="975" w:right="975"/>
        <w:rPr>
          <w:rFonts w:ascii="Cambria" w:hAnsi="Cambria"/>
          <w:color w:val="575757"/>
          <w:sz w:val="27"/>
          <w:szCs w:val="27"/>
        </w:rPr>
      </w:pPr>
      <w:r>
        <w:rPr>
          <w:rFonts w:ascii="Cambria" w:hAnsi="Cambria"/>
          <w:color w:val="575757"/>
          <w:sz w:val="27"/>
          <w:szCs w:val="27"/>
        </w:rPr>
        <w:t>Control: The test case was presented first.</w:t>
      </w:r>
    </w:p>
    <w:p w:rsidR="00670C65" w:rsidRDefault="00670C65" w:rsidP="00670C65">
      <w:pPr>
        <w:numPr>
          <w:ilvl w:val="0"/>
          <w:numId w:val="7"/>
        </w:numPr>
        <w:shd w:val="clear" w:color="auto" w:fill="FFFFFF"/>
        <w:spacing w:after="150"/>
        <w:ind w:left="975" w:right="975"/>
        <w:rPr>
          <w:rFonts w:ascii="Cambria" w:hAnsi="Cambria"/>
          <w:color w:val="575757"/>
          <w:sz w:val="27"/>
          <w:szCs w:val="27"/>
        </w:rPr>
      </w:pPr>
      <w:r>
        <w:rPr>
          <w:rStyle w:val="manuallabel"/>
          <w:rFonts w:ascii="Cambria" w:hAnsi="Cambria"/>
          <w:color w:val="575757"/>
          <w:sz w:val="27"/>
          <w:szCs w:val="27"/>
        </w:rPr>
        <w:t>(2)</w:t>
      </w:r>
    </w:p>
    <w:p w:rsidR="00670C65" w:rsidRDefault="00670C65" w:rsidP="00670C65">
      <w:pPr>
        <w:pStyle w:val="NormalWeb"/>
        <w:shd w:val="clear" w:color="auto" w:fill="FFFFFF"/>
        <w:spacing w:before="0" w:beforeAutospacing="0" w:after="105" w:afterAutospacing="0"/>
        <w:ind w:left="975" w:right="975"/>
        <w:rPr>
          <w:rFonts w:ascii="Cambria" w:hAnsi="Cambria"/>
          <w:color w:val="575757"/>
          <w:sz w:val="27"/>
          <w:szCs w:val="27"/>
        </w:rPr>
      </w:pPr>
      <w:r>
        <w:rPr>
          <w:rFonts w:ascii="Cambria" w:hAnsi="Cambria"/>
          <w:color w:val="575757"/>
          <w:sz w:val="27"/>
          <w:szCs w:val="27"/>
        </w:rPr>
        <w:t>Serious previous cases: The test case was preceded by four other cases in which there were serious complications that would usually call for a cesarean section.</w:t>
      </w:r>
    </w:p>
    <w:p w:rsidR="00670C65" w:rsidRDefault="00670C65" w:rsidP="00670C65">
      <w:pPr>
        <w:numPr>
          <w:ilvl w:val="0"/>
          <w:numId w:val="7"/>
        </w:numPr>
        <w:shd w:val="clear" w:color="auto" w:fill="FFFFFF"/>
        <w:spacing w:after="150"/>
        <w:ind w:left="975" w:right="975"/>
        <w:rPr>
          <w:rFonts w:ascii="Cambria" w:hAnsi="Cambria"/>
          <w:color w:val="575757"/>
          <w:sz w:val="27"/>
          <w:szCs w:val="27"/>
        </w:rPr>
      </w:pPr>
      <w:r>
        <w:rPr>
          <w:rStyle w:val="manuallabel"/>
          <w:rFonts w:ascii="Cambria" w:hAnsi="Cambria"/>
          <w:color w:val="575757"/>
          <w:sz w:val="27"/>
          <w:szCs w:val="27"/>
        </w:rPr>
        <w:t>(3)</w:t>
      </w:r>
    </w:p>
    <w:p w:rsidR="00670C65" w:rsidRDefault="00670C65" w:rsidP="00670C65">
      <w:pPr>
        <w:pStyle w:val="NormalWeb"/>
        <w:shd w:val="clear" w:color="auto" w:fill="FFFFFF"/>
        <w:spacing w:before="0" w:beforeAutospacing="0" w:after="105" w:afterAutospacing="0"/>
        <w:ind w:left="975" w:right="975"/>
        <w:rPr>
          <w:rFonts w:ascii="Cambria" w:hAnsi="Cambria"/>
          <w:color w:val="575757"/>
          <w:sz w:val="27"/>
          <w:szCs w:val="27"/>
        </w:rPr>
      </w:pPr>
      <w:r>
        <w:rPr>
          <w:rFonts w:ascii="Cambria" w:hAnsi="Cambria"/>
          <w:color w:val="575757"/>
          <w:sz w:val="27"/>
          <w:szCs w:val="27"/>
        </w:rPr>
        <w:t>Not serious previous cases: The test case was preceded by four other cases that were fairly routine and usually wouldn’t call for a cesarean section.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results, in</w:t>
      </w:r>
      <w:bookmarkStart w:id="23" w:name="PageEnd_417"/>
      <w:bookmarkEnd w:id="23"/>
      <w:r>
        <w:rPr>
          <w:rFonts w:ascii="Cambria" w:hAnsi="Cambria"/>
          <w:color w:val="575757"/>
          <w:sz w:val="27"/>
          <w:szCs w:val="27"/>
        </w:rPr>
        <w:t> </w:t>
      </w:r>
      <w:hyperlink r:id="rId61" w:history="1">
        <w:r>
          <w:rPr>
            <w:rStyle w:val="Hyperlink"/>
            <w:rFonts w:ascii="Cambria" w:eastAsiaTheme="majorEastAsia" w:hAnsi="Cambria"/>
            <w:color w:val="007DB8"/>
            <w:sz w:val="27"/>
            <w:szCs w:val="27"/>
          </w:rPr>
          <w:t>Figure 13.12</w:t>
        </w:r>
      </w:hyperlink>
      <w:r>
        <w:rPr>
          <w:rFonts w:ascii="Cambria" w:hAnsi="Cambria"/>
          <w:color w:val="575757"/>
          <w:sz w:val="27"/>
          <w:szCs w:val="27"/>
        </w:rPr>
        <w:t xml:space="preserve">, show that slightly more than half of the physicians in the control and serious conditions recommended a cesarean delivery. However, 75 percent recommended a cesarean when the test case was preceded by the </w:t>
      </w:r>
      <w:proofErr w:type="spellStart"/>
      <w:r>
        <w:rPr>
          <w:rFonts w:ascii="Cambria" w:hAnsi="Cambria"/>
          <w:color w:val="575757"/>
          <w:sz w:val="27"/>
          <w:szCs w:val="27"/>
        </w:rPr>
        <w:t>nonserious</w:t>
      </w:r>
      <w:proofErr w:type="spellEnd"/>
      <w:r>
        <w:rPr>
          <w:rFonts w:ascii="Cambria" w:hAnsi="Cambria"/>
          <w:color w:val="575757"/>
          <w:sz w:val="27"/>
          <w:szCs w:val="27"/>
        </w:rPr>
        <w:t xml:space="preserve"> cases. Apparently, the test case was perceived to be more serious when preceded by uncomplicated cases that didn’t require special actions. What this means, if these results were to translate into an actual medical situation, is that a patient’s chances of undergoing a cesarean section can be influenced by the immediately prior experiences of the physician.</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13.12</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The effect of context on decision making. The likelihood that physicians would recommend a cesarean section was the same if the test case was presented first (control condition) or if it was preceded by four serious </w:t>
      </w:r>
      <w:r>
        <w:rPr>
          <w:rFonts w:ascii="Tahoma" w:hAnsi="Tahoma" w:cs="Tahoma"/>
          <w:color w:val="575757"/>
          <w:sz w:val="29"/>
          <w:szCs w:val="29"/>
        </w:rPr>
        <w:lastRenderedPageBreak/>
        <w:t xml:space="preserve">cases that required a cesarean section. However, the likelihood that physicians would recommend a cesarean section was higher if the same test case was preceded by four </w:t>
      </w:r>
      <w:proofErr w:type="spellStart"/>
      <w:r>
        <w:rPr>
          <w:rFonts w:ascii="Tahoma" w:hAnsi="Tahoma" w:cs="Tahoma"/>
          <w:color w:val="575757"/>
          <w:sz w:val="29"/>
          <w:szCs w:val="29"/>
        </w:rPr>
        <w:t>nonserious</w:t>
      </w:r>
      <w:proofErr w:type="spellEnd"/>
      <w:r>
        <w:rPr>
          <w:rFonts w:ascii="Tahoma" w:hAnsi="Tahoma" w:cs="Tahoma"/>
          <w:color w:val="575757"/>
          <w:sz w:val="29"/>
          <w:szCs w:val="29"/>
        </w:rPr>
        <w:t xml:space="preserve"> cases that didn’t require a cesarean section.</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r>
        <w:rPr>
          <w:rStyle w:val="citation"/>
          <w:rFonts w:ascii="Tahoma" w:hAnsi="Tahoma" w:cs="Tahoma"/>
          <w:color w:val="666666"/>
          <w:sz w:val="22"/>
          <w:szCs w:val="22"/>
        </w:rPr>
        <w:t>Shen et al., 2010</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If the finding that medical decisions may depend on the doctor’s immediately prior experiences is a little unsettling, consider the plight of prisoners applying to Israeli parole boards. Shai Danziger and coworkers (2011) studied more than 1,000 judicial rulings on parole requests and found that the probability of a favorable response (parole granted) was 65 percent when judges heard a case just after taking a meal </w:t>
      </w:r>
      <w:proofErr w:type="gramStart"/>
      <w:r>
        <w:rPr>
          <w:rFonts w:ascii="Cambria" w:hAnsi="Cambria"/>
          <w:color w:val="575757"/>
          <w:sz w:val="27"/>
          <w:szCs w:val="27"/>
        </w:rPr>
        <w:t>break, but</w:t>
      </w:r>
      <w:proofErr w:type="gramEnd"/>
      <w:r>
        <w:rPr>
          <w:rFonts w:ascii="Cambria" w:hAnsi="Cambria"/>
          <w:color w:val="575757"/>
          <w:sz w:val="27"/>
          <w:szCs w:val="27"/>
        </w:rPr>
        <w:t xml:space="preserve"> dropped to near zero when heard just before taking a break. This finding that extraneous variables (whether the judge is hungry or tired) can affect judicial decisions lends credibility to a saying coined by Judge Jerome </w:t>
      </w:r>
      <w:r>
        <w:rPr>
          <w:rStyle w:val="citation"/>
          <w:rFonts w:ascii="Cambria" w:hAnsi="Cambria"/>
          <w:color w:val="575757"/>
          <w:sz w:val="27"/>
          <w:szCs w:val="27"/>
        </w:rPr>
        <w:t>Frank (</w:t>
      </w:r>
      <w:proofErr w:type="gramStart"/>
      <w:r>
        <w:rPr>
          <w:rStyle w:val="citation"/>
          <w:rFonts w:ascii="Cambria" w:hAnsi="Cambria"/>
          <w:color w:val="575757"/>
          <w:sz w:val="27"/>
          <w:szCs w:val="27"/>
        </w:rPr>
        <w:t>1930)</w:t>
      </w:r>
      <w:r>
        <w:rPr>
          <w:rFonts w:ascii="Cambria" w:hAnsi="Cambria"/>
          <w:color w:val="575757"/>
          <w:sz w:val="27"/>
          <w:szCs w:val="27"/>
        </w:rPr>
        <w:t>that</w:t>
      </w:r>
      <w:proofErr w:type="gramEnd"/>
      <w:r>
        <w:rPr>
          <w:rFonts w:ascii="Cambria" w:hAnsi="Cambria"/>
          <w:color w:val="575757"/>
          <w:sz w:val="27"/>
          <w:szCs w:val="27"/>
        </w:rPr>
        <w:t xml:space="preserve"> “Justice is what the judge had for breakfast.”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Although you might not be making major medical or judicial decisions, these examples do show various ways in which context can affect decisions. For a more relatable everyday example, consider the situation of deciding which camera to purchase in a store. Perhaps there are two models on display: a $170 model and a $240 model, each with its own set of features. Which do you choose? In fact, your purchasing decision might be affected by the context of the display. Simonson and Tversky (1992) showed that decisions were split about equally between the $170 and $240 model if those were the only options, but if a third, even more expensive option for $470 was also on display, participants were much more likely to choose the $240 option than the $170 option. This shows that even for everyday decisions like what to purchase, context can play a role—perhaps something to keep in mind the next time you’re choosing between products at the store.</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lastRenderedPageBreak/>
        <w:t>13-3d</w:t>
      </w:r>
      <w:r>
        <w:rPr>
          <w:rStyle w:val="headingtext"/>
          <w:rFonts w:ascii="Tahoma" w:hAnsi="Tahoma" w:cs="Tahoma"/>
          <w:color w:val="DF7300"/>
          <w:sz w:val="41"/>
          <w:szCs w:val="41"/>
        </w:rPr>
        <w:t>Decisions Can Depend on How Choices Are Presented</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People’s judgments are affected by the way choices are stated. For example, take a decision about whether to become a potential organ donor. Although a poll has found that 85 percent of Americans approve of organ donation, only 28 percent have actually granted permission by signing a donor card. This signing of the card is called an </w:t>
      </w:r>
      <w:hyperlink r:id="rId62" w:history="1">
        <w:r>
          <w:rPr>
            <w:rStyle w:val="primaryterm"/>
            <w:rFonts w:ascii="Cambria" w:hAnsi="Cambria"/>
            <w:b/>
            <w:bCs/>
            <w:color w:val="0081BC"/>
            <w:sz w:val="27"/>
            <w:szCs w:val="27"/>
          </w:rPr>
          <w:t xml:space="preserve">opt-in </w:t>
        </w:r>
        <w:proofErr w:type="spellStart"/>
        <w:r>
          <w:rPr>
            <w:rStyle w:val="primaryterm"/>
            <w:rFonts w:ascii="Cambria" w:hAnsi="Cambria"/>
            <w:b/>
            <w:bCs/>
            <w:color w:val="0081BC"/>
            <w:sz w:val="27"/>
            <w:szCs w:val="27"/>
          </w:rPr>
          <w:t>procedure</w:t>
        </w:r>
      </w:hyperlink>
      <w:r>
        <w:rPr>
          <w:rFonts w:ascii="Cambria" w:hAnsi="Cambria"/>
          <w:color w:val="575757"/>
          <w:sz w:val="27"/>
          <w:szCs w:val="27"/>
        </w:rPr>
        <w:t>because</w:t>
      </w:r>
      <w:proofErr w:type="spellEnd"/>
      <w:r>
        <w:rPr>
          <w:rFonts w:ascii="Cambria" w:hAnsi="Cambria"/>
          <w:color w:val="575757"/>
          <w:sz w:val="27"/>
          <w:szCs w:val="27"/>
        </w:rPr>
        <w:t xml:space="preserve"> it requires the person to take an active step (</w:t>
      </w:r>
      <w:r>
        <w:rPr>
          <w:rStyle w:val="citation"/>
          <w:rFonts w:ascii="Cambria" w:hAnsi="Cambria"/>
          <w:color w:val="575757"/>
          <w:sz w:val="27"/>
          <w:szCs w:val="27"/>
        </w:rPr>
        <w:t>Johnson &amp; Goldstein, 2003</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The low American consent rate for organ donation also occurs in other countries, such as Denmark (4 percent), the United Kingdom (27 percent), and Germany (12 percent). One thing that these countries have in common is that they all use an opt-in procedure. However, in France and Belgium, the consent rate is more than 99 percent. These countries use an </w:t>
      </w:r>
      <w:hyperlink r:id="rId63" w:history="1">
        <w:r>
          <w:rPr>
            <w:rStyle w:val="primaryterm"/>
            <w:rFonts w:ascii="Cambria" w:hAnsi="Cambria"/>
            <w:b/>
            <w:bCs/>
            <w:color w:val="0081BC"/>
            <w:sz w:val="27"/>
            <w:szCs w:val="27"/>
          </w:rPr>
          <w:t>opt-out procedure</w:t>
        </w:r>
      </w:hyperlink>
      <w:r>
        <w:rPr>
          <w:rFonts w:ascii="Cambria" w:hAnsi="Cambria"/>
          <w:color w:val="575757"/>
          <w:sz w:val="27"/>
          <w:szCs w:val="27"/>
        </w:rPr>
        <w:t>, in which everyone is a potential organ donor unless he or she requests not to be.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Related to people’s tendency to do nothing when faced with the need to opt in is the </w:t>
      </w:r>
      <w:hyperlink r:id="rId64" w:history="1">
        <w:r>
          <w:rPr>
            <w:rStyle w:val="primaryterm"/>
            <w:rFonts w:ascii="Cambria" w:hAnsi="Cambria"/>
            <w:b/>
            <w:bCs/>
            <w:color w:val="0081BC"/>
            <w:sz w:val="27"/>
            <w:szCs w:val="27"/>
          </w:rPr>
          <w:t>status quo bias</w:t>
        </w:r>
      </w:hyperlink>
      <w:r>
        <w:rPr>
          <w:rFonts w:ascii="Cambria" w:hAnsi="Cambria"/>
          <w:color w:val="575757"/>
          <w:sz w:val="27"/>
          <w:szCs w:val="27"/>
        </w:rPr>
        <w:t>—the tendency to do nothing when faced with making a decision. For example, in some states, drivers have the choice of getting an expensive car insurance policy that protects the driver’s right to sue and a cheaper plan that restricts the right to sue. For Pennsylvania drivers, the expensive plan is offered by default, so drivers have to choose the cheaper plan if they want it. However, in New Jersey, the cheaper plan is offered by default, so they have to choose the more expensive plan if they want it. In both cases, most drivers stick with the default option (</w:t>
      </w:r>
      <w:r>
        <w:rPr>
          <w:rStyle w:val="citation"/>
          <w:rFonts w:ascii="Cambria" w:hAnsi="Cambria"/>
          <w:color w:val="575757"/>
          <w:sz w:val="27"/>
          <w:szCs w:val="27"/>
        </w:rPr>
        <w:t>Johnson et al., 1993</w:t>
      </w:r>
      <w:r>
        <w:rPr>
          <w:rFonts w:ascii="Cambria" w:hAnsi="Cambria"/>
          <w:color w:val="575757"/>
          <w:sz w:val="27"/>
          <w:szCs w:val="27"/>
        </w:rPr>
        <w:t>). This tendency to stay with the status quo also occurs when people decide to stay with their present electrical service provider, retirement plan, or health plan, even when they are given choices that, in some cases, might be better (</w:t>
      </w:r>
      <w:r>
        <w:rPr>
          <w:rStyle w:val="citation"/>
          <w:rFonts w:ascii="Cambria" w:hAnsi="Cambria"/>
          <w:color w:val="575757"/>
          <w:sz w:val="27"/>
          <w:szCs w:val="27"/>
        </w:rPr>
        <w:t>Suri et al., 2013</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24" w:name="PageEnd_418"/>
      <w:bookmarkEnd w:id="24"/>
      <w:r>
        <w:rPr>
          <w:rFonts w:ascii="Cambria" w:hAnsi="Cambria"/>
          <w:color w:val="575757"/>
          <w:sz w:val="27"/>
          <w:szCs w:val="27"/>
        </w:rPr>
        <w:t xml:space="preserve">The examples involving organ donations and car insurance policies have to do with whether a person chooses to make a decision to change. The way a choice is presented is also </w:t>
      </w:r>
      <w:r>
        <w:rPr>
          <w:rFonts w:ascii="Cambria" w:hAnsi="Cambria"/>
          <w:color w:val="575757"/>
          <w:sz w:val="27"/>
          <w:szCs w:val="27"/>
        </w:rPr>
        <w:lastRenderedPageBreak/>
        <w:t xml:space="preserve">important when a person is forced to pick one alternative or another. Paul </w:t>
      </w:r>
      <w:proofErr w:type="spellStart"/>
      <w:r>
        <w:rPr>
          <w:rFonts w:ascii="Cambria" w:hAnsi="Cambria"/>
          <w:color w:val="575757"/>
          <w:sz w:val="27"/>
          <w:szCs w:val="27"/>
        </w:rPr>
        <w:t>Slovic</w:t>
      </w:r>
      <w:proofErr w:type="spellEnd"/>
      <w:r>
        <w:rPr>
          <w:rFonts w:ascii="Cambria" w:hAnsi="Cambria"/>
          <w:color w:val="575757"/>
          <w:sz w:val="27"/>
          <w:szCs w:val="27"/>
        </w:rPr>
        <w:t xml:space="preserve"> and coworkers (2000) showed forensic psychologists and psychiatrists a case history of a mental patient, Mr. Jones, and asked them to judge the likelihood that the patient would commit an act of violence within 6 months of being discharged. The key variable in this experiment was the nature of a statement that presented information about previous cases. When they were told that “20 out of every 100 patients similar to Mr. Jones are estimated to commit an act of violence,” 41 percent refused to discharge him. However, when told that “patients similar to Mr. Jones are estimated to have a 20 percent chance of committing an act of violence,” only 21 percent refused to discharge him. Why did this difference occur? One possibility is that the first statement conjures up images of 20 people being beaten up, whereas the second is a more abstract probability statement that could be interpreted to mean that there is only a small chance that patients like Mr. Jones will be violent.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Here’s another example of choosing between two alternatives, for you to try.</w:t>
      </w:r>
    </w:p>
    <w:p w:rsidR="00670C65" w:rsidRDefault="00670C65" w:rsidP="00670C65">
      <w:pPr>
        <w:rPr>
          <w:rFonts w:ascii="Cambria" w:hAnsi="Cambria"/>
          <w:color w:val="575757"/>
          <w:sz w:val="27"/>
          <w:szCs w:val="27"/>
        </w:rPr>
      </w:pPr>
      <w:r>
        <w:rPr>
          <w:rStyle w:val="label"/>
          <w:rFonts w:ascii="Tahoma" w:hAnsi="Tahoma" w:cs="Tahoma"/>
          <w:b/>
          <w:bCs/>
          <w:color w:val="575757"/>
          <w:sz w:val="30"/>
          <w:szCs w:val="30"/>
          <w:shd w:val="clear" w:color="auto" w:fill="A44F81"/>
        </w:rPr>
        <w:t>Demonstration</w:t>
      </w:r>
    </w:p>
    <w:p w:rsidR="00670C65" w:rsidRDefault="00670C65" w:rsidP="00670C65">
      <w:pPr>
        <w:pStyle w:val="Heading3"/>
        <w:spacing w:before="0"/>
        <w:ind w:left="300"/>
        <w:rPr>
          <w:rFonts w:ascii="Tahoma" w:hAnsi="Tahoma" w:cs="Tahoma"/>
          <w:color w:val="575757"/>
          <w:spacing w:val="7"/>
          <w:sz w:val="30"/>
          <w:szCs w:val="30"/>
        </w:rPr>
      </w:pPr>
      <w:r>
        <w:rPr>
          <w:rFonts w:ascii="Tahoma" w:hAnsi="Tahoma" w:cs="Tahoma"/>
          <w:color w:val="575757"/>
          <w:spacing w:val="7"/>
          <w:sz w:val="30"/>
          <w:szCs w:val="30"/>
        </w:rPr>
        <w:t>What Would You Do?</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Imagine that the United States is preparing for the outbreak of an unusual disease that is expected to kill 600 people. Two alternative programs to combat the disease have been proposed. Assume that the exact scientific estimates of the consequences of the programs are as follows:</w:t>
      </w:r>
    </w:p>
    <w:p w:rsidR="00670C65" w:rsidRDefault="00670C65" w:rsidP="00670C65">
      <w:pPr>
        <w:pStyle w:val="NormalWeb"/>
        <w:numPr>
          <w:ilvl w:val="0"/>
          <w:numId w:val="8"/>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If Program A is adopted, 200 people will be saved.</w:t>
      </w:r>
    </w:p>
    <w:p w:rsidR="00670C65" w:rsidRDefault="00670C65" w:rsidP="00670C65">
      <w:pPr>
        <w:pStyle w:val="NormalWeb"/>
        <w:numPr>
          <w:ilvl w:val="0"/>
          <w:numId w:val="8"/>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If Program B is adopted, there is a one-third probability that 600 people will be saved, and a two-thirds probability that no people will be saved.</w:t>
      </w:r>
    </w:p>
    <w:p w:rsidR="00670C65" w:rsidRDefault="00670C65" w:rsidP="00670C65">
      <w:pPr>
        <w:pStyle w:val="NormalWeb"/>
        <w:numPr>
          <w:ilvl w:val="0"/>
          <w:numId w:val="8"/>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Which of the two programs would you favor?</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Now consider the following additional proposals for combating the same disease:</w:t>
      </w:r>
    </w:p>
    <w:p w:rsidR="00670C65" w:rsidRDefault="00670C65" w:rsidP="00670C65">
      <w:pPr>
        <w:pStyle w:val="NormalWeb"/>
        <w:numPr>
          <w:ilvl w:val="0"/>
          <w:numId w:val="9"/>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If Program C is adopted, 400 people will die.</w:t>
      </w:r>
    </w:p>
    <w:p w:rsidR="00670C65" w:rsidRDefault="00670C65" w:rsidP="00670C65">
      <w:pPr>
        <w:pStyle w:val="NormalWeb"/>
        <w:numPr>
          <w:ilvl w:val="0"/>
          <w:numId w:val="9"/>
        </w:numPr>
        <w:shd w:val="clear" w:color="auto" w:fill="F9F9F9"/>
        <w:spacing w:before="0" w:beforeAutospacing="0" w:after="0" w:afterAutospacing="0"/>
        <w:ind w:left="0"/>
        <w:rPr>
          <w:rFonts w:ascii="Cambria" w:hAnsi="Cambria"/>
          <w:color w:val="575757"/>
          <w:sz w:val="27"/>
          <w:szCs w:val="27"/>
        </w:rPr>
      </w:pPr>
      <w:r>
        <w:rPr>
          <w:rFonts w:ascii="Cambria" w:hAnsi="Cambria"/>
          <w:color w:val="575757"/>
          <w:sz w:val="27"/>
          <w:szCs w:val="27"/>
        </w:rPr>
        <w:t>If Program D is adopted, there is a one-third probability that nobody will die, and a two-thirds probability that 600 people will die.</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Which of these two programs would you pick?</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When offered the first pair of proposals, 72 percent of the students in an experiment by Tversky and Kahneman (1981) </w:t>
      </w:r>
      <w:r>
        <w:rPr>
          <w:rFonts w:ascii="Cambria" w:hAnsi="Cambria"/>
          <w:color w:val="575757"/>
          <w:sz w:val="27"/>
          <w:szCs w:val="27"/>
        </w:rPr>
        <w:lastRenderedPageBreak/>
        <w:t>chose Program A, and the rest picked Program B (</w:t>
      </w:r>
      <w:hyperlink r:id="rId65" w:history="1">
        <w:r>
          <w:rPr>
            <w:rStyle w:val="Hyperlink"/>
            <w:rFonts w:ascii="Cambria" w:hAnsi="Cambria"/>
            <w:color w:val="007DB8"/>
            <w:sz w:val="27"/>
            <w:szCs w:val="27"/>
          </w:rPr>
          <w:t>Figure 13.13</w:t>
        </w:r>
      </w:hyperlink>
      <w:r>
        <w:rPr>
          <w:rFonts w:ascii="Cambria" w:hAnsi="Cambria"/>
          <w:color w:val="575757"/>
          <w:sz w:val="27"/>
          <w:szCs w:val="27"/>
        </w:rPr>
        <w:t>). The choice of Program A suggested that participants were using a </w:t>
      </w:r>
      <w:hyperlink r:id="rId66" w:history="1">
        <w:r>
          <w:rPr>
            <w:rStyle w:val="primaryterm"/>
            <w:rFonts w:ascii="Cambria" w:hAnsi="Cambria"/>
            <w:b/>
            <w:bCs/>
            <w:color w:val="0081BC"/>
            <w:sz w:val="27"/>
            <w:szCs w:val="27"/>
          </w:rPr>
          <w:t>risk aversion strategy</w:t>
        </w:r>
      </w:hyperlink>
      <w:r>
        <w:rPr>
          <w:rFonts w:ascii="Cambria" w:hAnsi="Cambria"/>
          <w:color w:val="575757"/>
          <w:sz w:val="27"/>
          <w:szCs w:val="27"/>
        </w:rPr>
        <w:t>. The idea of saving 200 lives with certainty is more attractive than the two-thirds probability that no one will be saved. However, when Tversky and Kahneman presented the descriptions of Programs C and D to another group of students, 22 percent picked Program C and 78 percent picked Program D. This represents a </w:t>
      </w:r>
      <w:hyperlink r:id="rId67" w:history="1">
        <w:r>
          <w:rPr>
            <w:rStyle w:val="primaryterm"/>
            <w:rFonts w:ascii="Cambria" w:hAnsi="Cambria"/>
            <w:b/>
            <w:bCs/>
            <w:color w:val="0081BC"/>
            <w:sz w:val="27"/>
            <w:szCs w:val="27"/>
          </w:rPr>
          <w:t>risk-taking strategy</w:t>
        </w:r>
      </w:hyperlink>
      <w:r>
        <w:rPr>
          <w:rFonts w:ascii="Cambria" w:hAnsi="Cambria"/>
          <w:color w:val="575757"/>
          <w:sz w:val="27"/>
          <w:szCs w:val="27"/>
        </w:rPr>
        <w:t>, because certain death of 400 people is less acceptable than taking a 2 in 3 risk that 600 people will die.</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13.13</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How framing affects decision making. These pie charts diagram the conditions set forth for Programs A, B, C, and D in the text. Note that the number of deaths and probabilities for Programs A and B are exactly the same as for Programs C and D. The percentages indicate the percentage of participants who picked each program when given choices between A and B or between C and D.</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r>
        <w:rPr>
          <w:rStyle w:val="citation"/>
          <w:rFonts w:ascii="Tahoma" w:hAnsi="Tahoma" w:cs="Tahoma"/>
          <w:color w:val="666666"/>
          <w:sz w:val="22"/>
          <w:szCs w:val="22"/>
        </w:rPr>
        <w:t>Tversky &amp; Kahneman, 1981</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But if we look at the four programs closely, we can see that they are identical pairs (</w:t>
      </w:r>
      <w:hyperlink r:id="rId68" w:history="1">
        <w:r>
          <w:rPr>
            <w:rStyle w:val="Hyperlink"/>
            <w:rFonts w:ascii="Cambria" w:hAnsi="Cambria"/>
            <w:color w:val="007DB8"/>
            <w:sz w:val="27"/>
            <w:szCs w:val="27"/>
          </w:rPr>
          <w:t>Figure 13.13</w:t>
        </w:r>
      </w:hyperlink>
      <w:r>
        <w:rPr>
          <w:rFonts w:ascii="Cambria" w:hAnsi="Cambria"/>
          <w:color w:val="575757"/>
          <w:sz w:val="27"/>
          <w:szCs w:val="27"/>
        </w:rPr>
        <w:t>). Programs A and C both result in 200 people living and 400 people dying. Yet 72 percent of the participants picked Program A and only 22 percent picked Program C. A similar situation occurs if we compare Programs B and D. Both lead to the same number of deaths, yet one was picked by 28 percent of the participants and the other by 78 percent. These results illustrate the </w:t>
      </w:r>
      <w:hyperlink r:id="rId69" w:history="1">
        <w:r>
          <w:rPr>
            <w:rStyle w:val="primaryterm"/>
            <w:rFonts w:ascii="Cambria" w:hAnsi="Cambria"/>
            <w:b/>
            <w:bCs/>
            <w:color w:val="0081BC"/>
            <w:sz w:val="27"/>
            <w:szCs w:val="27"/>
          </w:rPr>
          <w:t>framing effect</w:t>
        </w:r>
      </w:hyperlink>
      <w:r>
        <w:rPr>
          <w:rFonts w:ascii="Cambria" w:hAnsi="Cambria"/>
          <w:color w:val="575757"/>
          <w:sz w:val="27"/>
          <w:szCs w:val="27"/>
        </w:rPr>
        <w:t xml:space="preserve">—decisions are influenced by how the choices are </w:t>
      </w:r>
      <w:proofErr w:type="gramStart"/>
      <w:r>
        <w:rPr>
          <w:rFonts w:ascii="Cambria" w:hAnsi="Cambria"/>
          <w:color w:val="575757"/>
          <w:sz w:val="27"/>
          <w:szCs w:val="27"/>
        </w:rPr>
        <w:t>stated, or</w:t>
      </w:r>
      <w:proofErr w:type="gramEnd"/>
      <w:r>
        <w:rPr>
          <w:rFonts w:ascii="Cambria" w:hAnsi="Cambria"/>
          <w:color w:val="575757"/>
          <w:sz w:val="27"/>
          <w:szCs w:val="27"/>
        </w:rPr>
        <w:t> </w:t>
      </w:r>
      <w:r>
        <w:rPr>
          <w:rStyle w:val="Emphasis"/>
          <w:rFonts w:ascii="Cambria" w:hAnsi="Cambria"/>
          <w:color w:val="575757"/>
          <w:sz w:val="27"/>
          <w:szCs w:val="27"/>
        </w:rPr>
        <w:t>framed</w:t>
      </w:r>
      <w:r>
        <w:rPr>
          <w:rFonts w:ascii="Cambria" w:hAnsi="Cambria"/>
          <w:color w:val="575757"/>
          <w:sz w:val="27"/>
          <w:szCs w:val="27"/>
        </w:rPr>
        <w:t>. Tversky and Kahneman concluded that, in general, when a choice</w:t>
      </w:r>
      <w:bookmarkStart w:id="25" w:name="PageEnd_419"/>
      <w:bookmarkEnd w:id="25"/>
      <w:r>
        <w:rPr>
          <w:rFonts w:ascii="Cambria" w:hAnsi="Cambria"/>
          <w:color w:val="575757"/>
          <w:sz w:val="27"/>
          <w:szCs w:val="27"/>
        </w:rPr>
        <w:t> is framed in terms of gains (as in the first problem, which is stated in terms of saving lives), people use a risk aversion strategy, and when a choice is framed in terms of losses (as in the second problem, which is stated in terms of losing lives), people use a risk-taking strategy.</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One reason people’s </w:t>
      </w:r>
      <w:proofErr w:type="gramStart"/>
      <w:r>
        <w:rPr>
          <w:rFonts w:ascii="Cambria" w:hAnsi="Cambria"/>
          <w:color w:val="575757"/>
          <w:sz w:val="27"/>
          <w:szCs w:val="27"/>
        </w:rPr>
        <w:t>decisions</w:t>
      </w:r>
      <w:proofErr w:type="gramEnd"/>
      <w:r>
        <w:rPr>
          <w:rFonts w:ascii="Cambria" w:hAnsi="Cambria"/>
          <w:color w:val="575757"/>
          <w:sz w:val="27"/>
          <w:szCs w:val="27"/>
        </w:rPr>
        <w:t xml:space="preserve"> are affected by framing is that the way a problem is stated can highlight some features of the situation (for example, that people will die) and deemphasize </w:t>
      </w:r>
      <w:r>
        <w:rPr>
          <w:rFonts w:ascii="Cambria" w:hAnsi="Cambria"/>
          <w:color w:val="575757"/>
          <w:sz w:val="27"/>
          <w:szCs w:val="27"/>
        </w:rPr>
        <w:lastRenderedPageBreak/>
        <w:t>others (</w:t>
      </w:r>
      <w:r>
        <w:rPr>
          <w:rStyle w:val="citation"/>
          <w:rFonts w:ascii="Cambria" w:hAnsi="Cambria"/>
          <w:color w:val="575757"/>
          <w:sz w:val="27"/>
          <w:szCs w:val="27"/>
        </w:rPr>
        <w:t>Kahneman, 2003</w:t>
      </w:r>
      <w:r>
        <w:rPr>
          <w:rFonts w:ascii="Cambria" w:hAnsi="Cambria"/>
          <w:color w:val="575757"/>
          <w:sz w:val="27"/>
          <w:szCs w:val="27"/>
        </w:rPr>
        <w:t>). It should not be a surprise that the way a choice is stated can influence cognitive processes, since we already saw evidence of this in the discussion of syllogisms in the deductive reasoning section of this chapter, and also in </w:t>
      </w:r>
      <w:hyperlink r:id="rId70" w:history="1">
        <w:r>
          <w:rPr>
            <w:rStyle w:val="Hyperlink"/>
            <w:rFonts w:ascii="Cambria" w:hAnsi="Cambria"/>
            <w:color w:val="007DB8"/>
            <w:sz w:val="27"/>
            <w:szCs w:val="27"/>
          </w:rPr>
          <w:t>Chapter 12</w:t>
        </w:r>
      </w:hyperlink>
      <w:r>
        <w:rPr>
          <w:rFonts w:ascii="Cambria" w:hAnsi="Cambria"/>
          <w:color w:val="575757"/>
          <w:sz w:val="27"/>
          <w:szCs w:val="27"/>
        </w:rPr>
        <w:t>, where the results of various experiments showed that the way a problem is stated can influence our ability to solve it.</w:t>
      </w:r>
    </w:p>
    <w:p w:rsidR="00670C65" w:rsidRDefault="00670C65" w:rsidP="00670C65">
      <w:pPr>
        <w:pStyle w:val="Heading2"/>
        <w:shd w:val="clear" w:color="auto" w:fill="FFFFFF"/>
        <w:spacing w:before="0"/>
        <w:rPr>
          <w:rFonts w:ascii="Tahoma" w:hAnsi="Tahoma" w:cs="Tahoma"/>
          <w:color w:val="DF7300"/>
          <w:sz w:val="41"/>
          <w:szCs w:val="41"/>
        </w:rPr>
      </w:pPr>
      <w:r>
        <w:rPr>
          <w:rStyle w:val="sectionlabel"/>
          <w:rFonts w:ascii="Tahoma" w:hAnsi="Tahoma" w:cs="Tahoma"/>
          <w:color w:val="7A7A7A"/>
          <w:sz w:val="30"/>
          <w:szCs w:val="30"/>
        </w:rPr>
        <w:t>13-3e</w:t>
      </w:r>
      <w:r>
        <w:rPr>
          <w:rStyle w:val="headingtext"/>
          <w:rFonts w:ascii="Tahoma" w:hAnsi="Tahoma" w:cs="Tahoma"/>
          <w:color w:val="DF7300"/>
          <w:sz w:val="41"/>
          <w:szCs w:val="41"/>
        </w:rPr>
        <w:t>Neuroeconomics: The Neural Basis of Decision Making</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 new approach to studying decision making, called </w:t>
      </w:r>
      <w:hyperlink r:id="rId71" w:history="1">
        <w:r>
          <w:rPr>
            <w:rStyle w:val="primaryterm"/>
            <w:rFonts w:ascii="Cambria" w:hAnsi="Cambria"/>
            <w:b/>
            <w:bCs/>
            <w:color w:val="0081BC"/>
            <w:sz w:val="27"/>
            <w:szCs w:val="27"/>
          </w:rPr>
          <w:t>neuroeconomics</w:t>
        </w:r>
      </w:hyperlink>
      <w:r>
        <w:rPr>
          <w:rFonts w:ascii="Cambria" w:hAnsi="Cambria"/>
          <w:color w:val="575757"/>
          <w:sz w:val="27"/>
          <w:szCs w:val="27"/>
        </w:rPr>
        <w:t>, combines research from the fields of psychology, neuroscience, and economics to study how brain activation is related to decisions that involve potential gains or losses (</w:t>
      </w:r>
      <w:r>
        <w:rPr>
          <w:rStyle w:val="citation"/>
          <w:rFonts w:ascii="Cambria" w:hAnsi="Cambria"/>
          <w:color w:val="575757"/>
          <w:sz w:val="27"/>
          <w:szCs w:val="27"/>
        </w:rPr>
        <w:t>Lee, 2006</w:t>
      </w:r>
      <w:r>
        <w:rPr>
          <w:rFonts w:ascii="Cambria" w:hAnsi="Cambria"/>
          <w:color w:val="575757"/>
          <w:sz w:val="27"/>
          <w:szCs w:val="27"/>
        </w:rPr>
        <w:t>; Lee &amp; </w:t>
      </w:r>
      <w:proofErr w:type="spellStart"/>
      <w:r>
        <w:rPr>
          <w:rStyle w:val="citation"/>
          <w:rFonts w:ascii="Cambria" w:hAnsi="Cambria"/>
          <w:color w:val="575757"/>
          <w:sz w:val="27"/>
          <w:szCs w:val="27"/>
        </w:rPr>
        <w:t>Seo</w:t>
      </w:r>
      <w:proofErr w:type="spellEnd"/>
      <w:r>
        <w:rPr>
          <w:rStyle w:val="citation"/>
          <w:rFonts w:ascii="Cambria" w:hAnsi="Cambria"/>
          <w:color w:val="575757"/>
          <w:sz w:val="27"/>
          <w:szCs w:val="27"/>
        </w:rPr>
        <w:t>, 2016</w:t>
      </w:r>
      <w:r>
        <w:rPr>
          <w:rFonts w:ascii="Cambria" w:hAnsi="Cambria"/>
          <w:color w:val="575757"/>
          <w:sz w:val="27"/>
          <w:szCs w:val="27"/>
        </w:rPr>
        <w:t>; </w:t>
      </w:r>
      <w:r>
        <w:rPr>
          <w:rStyle w:val="citation"/>
          <w:rFonts w:ascii="Cambria" w:hAnsi="Cambria"/>
          <w:color w:val="575757"/>
          <w:sz w:val="27"/>
          <w:szCs w:val="27"/>
        </w:rPr>
        <w:t>Lowenstein et al., 2008</w:t>
      </w:r>
      <w:r>
        <w:rPr>
          <w:rFonts w:ascii="Cambria" w:hAnsi="Cambria"/>
          <w:color w:val="575757"/>
          <w:sz w:val="27"/>
          <w:szCs w:val="27"/>
        </w:rPr>
        <w:t>;</w:t>
      </w:r>
      <w:r>
        <w:rPr>
          <w:rStyle w:val="citation"/>
          <w:rFonts w:ascii="Cambria" w:hAnsi="Cambria"/>
          <w:color w:val="575757"/>
          <w:sz w:val="27"/>
          <w:szCs w:val="27"/>
        </w:rPr>
        <w:t>Sanfey et al., 2006</w:t>
      </w:r>
      <w:r>
        <w:rPr>
          <w:rFonts w:ascii="Cambria" w:hAnsi="Cambria"/>
          <w:color w:val="575757"/>
          <w:sz w:val="27"/>
          <w:szCs w:val="27"/>
        </w:rPr>
        <w:t>). One outcome of this approach has been research that has identified areas of the brain that are activated as people make decisions while playing economic games. This research shows that decisions are often influenced by emotions, and that these emotions are associated with activity in specific areas of the brain.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To illustrate the neuroeconomics approach, we will describe an experiment by Alan </w:t>
      </w:r>
      <w:proofErr w:type="spellStart"/>
      <w:r>
        <w:rPr>
          <w:rFonts w:ascii="Cambria" w:hAnsi="Cambria"/>
          <w:color w:val="575757"/>
          <w:sz w:val="27"/>
          <w:szCs w:val="27"/>
        </w:rPr>
        <w:t>Sanfey</w:t>
      </w:r>
      <w:proofErr w:type="spellEnd"/>
      <w:r>
        <w:rPr>
          <w:rFonts w:ascii="Cambria" w:hAnsi="Cambria"/>
          <w:color w:val="575757"/>
          <w:sz w:val="27"/>
          <w:szCs w:val="27"/>
        </w:rPr>
        <w:t xml:space="preserve"> and coworkers (2003) in which people’s brain activity was measured as they played the ultimatum game. The </w:t>
      </w:r>
      <w:hyperlink r:id="rId72" w:history="1">
        <w:r>
          <w:rPr>
            <w:rStyle w:val="primaryterm"/>
            <w:rFonts w:ascii="Cambria" w:hAnsi="Cambria"/>
            <w:b/>
            <w:bCs/>
            <w:color w:val="0081BC"/>
            <w:sz w:val="27"/>
            <w:szCs w:val="27"/>
          </w:rPr>
          <w:t>ultimatum game</w:t>
        </w:r>
      </w:hyperlink>
      <w:r>
        <w:rPr>
          <w:rFonts w:ascii="Cambria" w:hAnsi="Cambria"/>
          <w:color w:val="575757"/>
          <w:sz w:val="27"/>
          <w:szCs w:val="27"/>
        </w:rPr>
        <w:t> involves two players, one designated as the </w:t>
      </w:r>
      <w:r>
        <w:rPr>
          <w:rStyle w:val="Emphasis"/>
          <w:rFonts w:ascii="Cambria" w:hAnsi="Cambria"/>
          <w:color w:val="575757"/>
          <w:sz w:val="27"/>
          <w:szCs w:val="27"/>
        </w:rPr>
        <w:t>proposer</w:t>
      </w:r>
      <w:r>
        <w:rPr>
          <w:rFonts w:ascii="Cambria" w:hAnsi="Cambria"/>
          <w:color w:val="575757"/>
          <w:sz w:val="27"/>
          <w:szCs w:val="27"/>
        </w:rPr>
        <w:t> and the other as the </w:t>
      </w:r>
      <w:r>
        <w:rPr>
          <w:rStyle w:val="Emphasis"/>
          <w:rFonts w:ascii="Cambria" w:hAnsi="Cambria"/>
          <w:color w:val="575757"/>
          <w:sz w:val="27"/>
          <w:szCs w:val="27"/>
        </w:rPr>
        <w:t>responder</w:t>
      </w:r>
      <w:r>
        <w:rPr>
          <w:rFonts w:ascii="Cambria" w:hAnsi="Cambria"/>
          <w:color w:val="575757"/>
          <w:sz w:val="27"/>
          <w:szCs w:val="27"/>
        </w:rPr>
        <w:t>. The proposer is given a sum of money, say $10, and makes an offer to the responder as to how this money should be split between them. If the responder accepts the offer, then the money is split according to the proposal. If the responder rejects the offer, neither player receives anything. Either way, the game is over after the responder makes his or her decision.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According to utility theory, the responder should always accept the proposer’s offer as long as it’s greater than zero. This is the rational response, because if you accept the </w:t>
      </w:r>
      <w:proofErr w:type="spellStart"/>
      <w:r>
        <w:rPr>
          <w:rFonts w:ascii="Cambria" w:hAnsi="Cambria"/>
          <w:color w:val="575757"/>
          <w:sz w:val="27"/>
          <w:szCs w:val="27"/>
        </w:rPr>
        <w:t>offer</w:t>
      </w:r>
      <w:bookmarkStart w:id="26" w:name="PageEnd_420"/>
      <w:bookmarkEnd w:id="26"/>
      <w:r>
        <w:rPr>
          <w:rFonts w:ascii="Cambria" w:hAnsi="Cambria"/>
          <w:color w:val="575757"/>
          <w:sz w:val="27"/>
          <w:szCs w:val="27"/>
        </w:rPr>
        <w:t>you</w:t>
      </w:r>
      <w:proofErr w:type="spellEnd"/>
      <w:r>
        <w:rPr>
          <w:rFonts w:ascii="Cambria" w:hAnsi="Cambria"/>
          <w:color w:val="575757"/>
          <w:sz w:val="27"/>
          <w:szCs w:val="27"/>
        </w:rPr>
        <w:t xml:space="preserve"> get something, but if you refuse it you get nothing (remember that the game is only one trial long, so there is no second chance).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 xml:space="preserve">In </w:t>
      </w:r>
      <w:proofErr w:type="spellStart"/>
      <w:r>
        <w:rPr>
          <w:rFonts w:ascii="Cambria" w:hAnsi="Cambria"/>
          <w:color w:val="575757"/>
          <w:sz w:val="27"/>
          <w:szCs w:val="27"/>
        </w:rPr>
        <w:t>Sanfey’s</w:t>
      </w:r>
      <w:proofErr w:type="spellEnd"/>
      <w:r>
        <w:rPr>
          <w:rFonts w:ascii="Cambria" w:hAnsi="Cambria"/>
          <w:color w:val="575757"/>
          <w:sz w:val="27"/>
          <w:szCs w:val="27"/>
        </w:rPr>
        <w:t xml:space="preserve"> experiment, participants played 20 separate games as responder: 10 with 10 different human partners and 10 with a computer partner. The offers made by both the human and computer partners were determined by the experimenters, with some being “fair” (evenly split, so the responder received $5) and some “unfair” (the responder received $1, $2, or $3). The results of responders’ interactions with their human partners (orange bars in </w:t>
      </w:r>
      <w:hyperlink r:id="rId73" w:history="1">
        <w:r>
          <w:rPr>
            <w:rStyle w:val="Hyperlink"/>
            <w:rFonts w:ascii="Cambria" w:hAnsi="Cambria"/>
            <w:color w:val="007DB8"/>
            <w:sz w:val="27"/>
            <w:szCs w:val="27"/>
          </w:rPr>
          <w:t>Figure 13.14</w:t>
        </w:r>
      </w:hyperlink>
      <w:r>
        <w:rPr>
          <w:rFonts w:ascii="Cambria" w:hAnsi="Cambria"/>
          <w:color w:val="575757"/>
          <w:sz w:val="27"/>
          <w:szCs w:val="27"/>
        </w:rPr>
        <w:t>) match the results of other research on the ultimatum game: All responders accept an offer of $5, most accept the $3 offer, and half or more reject the $1 or $2 offers.</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t>Figure </w:t>
      </w:r>
      <w:r>
        <w:rPr>
          <w:rStyle w:val="mediafigurenumber"/>
          <w:rFonts w:ascii="Tahoma" w:hAnsi="Tahoma" w:cs="Tahoma"/>
          <w:b/>
          <w:bCs/>
          <w:color w:val="535957"/>
          <w:sz w:val="31"/>
          <w:szCs w:val="31"/>
          <w:shd w:val="clear" w:color="auto" w:fill="DAD9E1"/>
        </w:rPr>
        <w:t>13.14</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 xml:space="preserve">Behavioral results of </w:t>
      </w:r>
      <w:proofErr w:type="spellStart"/>
      <w:r>
        <w:rPr>
          <w:rFonts w:ascii="Tahoma" w:hAnsi="Tahoma" w:cs="Tahoma"/>
          <w:color w:val="575757"/>
          <w:sz w:val="29"/>
          <w:szCs w:val="29"/>
        </w:rPr>
        <w:t>Sanfey</w:t>
      </w:r>
      <w:proofErr w:type="spellEnd"/>
      <w:r>
        <w:rPr>
          <w:rFonts w:ascii="Tahoma" w:hAnsi="Tahoma" w:cs="Tahoma"/>
          <w:color w:val="575757"/>
          <w:sz w:val="29"/>
          <w:szCs w:val="29"/>
        </w:rPr>
        <w:t xml:space="preserve"> and coworkers’ (2003) experiment, showing responders’ acceptance rates in response to different offers made by human partners and computer partners.</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proofErr w:type="spellStart"/>
      <w:r>
        <w:rPr>
          <w:rStyle w:val="citation"/>
          <w:rFonts w:ascii="Tahoma" w:hAnsi="Tahoma" w:cs="Tahoma"/>
          <w:color w:val="666666"/>
          <w:sz w:val="22"/>
          <w:szCs w:val="22"/>
        </w:rPr>
        <w:t>Sanfey</w:t>
      </w:r>
      <w:proofErr w:type="spellEnd"/>
      <w:r>
        <w:rPr>
          <w:rStyle w:val="citation"/>
          <w:rFonts w:ascii="Tahoma" w:hAnsi="Tahoma" w:cs="Tahoma"/>
          <w:color w:val="666666"/>
          <w:sz w:val="22"/>
          <w:szCs w:val="22"/>
        </w:rPr>
        <w:t xml:space="preserve"> et al., 2003</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Why do people reject low offers? When </w:t>
      </w:r>
      <w:proofErr w:type="spellStart"/>
      <w:r>
        <w:rPr>
          <w:rFonts w:ascii="Cambria" w:hAnsi="Cambria"/>
          <w:color w:val="575757"/>
          <w:sz w:val="27"/>
          <w:szCs w:val="27"/>
        </w:rPr>
        <w:t>Sanfey</w:t>
      </w:r>
      <w:proofErr w:type="spellEnd"/>
      <w:r>
        <w:rPr>
          <w:rFonts w:ascii="Cambria" w:hAnsi="Cambria"/>
          <w:color w:val="575757"/>
          <w:sz w:val="27"/>
          <w:szCs w:val="27"/>
        </w:rPr>
        <w:t xml:space="preserve"> and coworkers asked participants, many explained that they were angry because they felt the offers were unfair. Consistent with this explanation, when participants received exactly the same offers from their computer partner, more accepted “unfair” proposals (turquoise bars in </w:t>
      </w:r>
      <w:hyperlink r:id="rId74" w:history="1">
        <w:r>
          <w:rPr>
            <w:rStyle w:val="Hyperlink"/>
            <w:rFonts w:ascii="Cambria" w:hAnsi="Cambria"/>
            <w:color w:val="007DB8"/>
            <w:sz w:val="27"/>
            <w:szCs w:val="27"/>
          </w:rPr>
          <w:t>Figure 13.14</w:t>
        </w:r>
      </w:hyperlink>
      <w:r>
        <w:rPr>
          <w:rFonts w:ascii="Cambria" w:hAnsi="Cambria"/>
          <w:color w:val="575757"/>
          <w:sz w:val="27"/>
          <w:szCs w:val="27"/>
        </w:rPr>
        <w:t>). Apparently, people are less likely to get angry with an unfair computer than with an unfair person.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In addition to testing people’s behavior, </w:t>
      </w:r>
      <w:proofErr w:type="spellStart"/>
      <w:r>
        <w:rPr>
          <w:rFonts w:ascii="Cambria" w:hAnsi="Cambria"/>
          <w:color w:val="575757"/>
          <w:sz w:val="27"/>
          <w:szCs w:val="27"/>
        </w:rPr>
        <w:t>Sanfey</w:t>
      </w:r>
      <w:proofErr w:type="spellEnd"/>
      <w:r>
        <w:rPr>
          <w:rFonts w:ascii="Cambria" w:hAnsi="Cambria"/>
          <w:color w:val="575757"/>
          <w:sz w:val="27"/>
          <w:szCs w:val="27"/>
        </w:rPr>
        <w:t xml:space="preserve"> and coworkers used fMRI to measure brain activity in the responders as they were making their decisions. The results showed that the right anterior insula, an area located deep within the brain between the parietal and temporal lobes, was activated about three times more strongly when responders rejected an offer than when they accepted it (</w:t>
      </w:r>
      <w:hyperlink r:id="rId75" w:history="1">
        <w:r>
          <w:rPr>
            <w:rStyle w:val="Hyperlink"/>
            <w:rFonts w:ascii="Cambria" w:hAnsi="Cambria"/>
            <w:color w:val="007DB8"/>
            <w:sz w:val="27"/>
            <w:szCs w:val="27"/>
          </w:rPr>
          <w:t>Figure 13.15a</w:t>
        </w:r>
      </w:hyperlink>
      <w:r>
        <w:rPr>
          <w:rFonts w:ascii="Cambria" w:hAnsi="Cambria"/>
          <w:color w:val="575757"/>
          <w:sz w:val="27"/>
          <w:szCs w:val="27"/>
        </w:rPr>
        <w:t>). Also, participants with higher activation to unfair offers rejected a higher proportion of the offers. The fact that the insula responded during rejection is not surprising when we consider that this area of the brain is connected with negative emotional states, including pain, distress, hunger, anger, and disgust.</w:t>
      </w:r>
    </w:p>
    <w:p w:rsidR="00670C65" w:rsidRDefault="00670C65" w:rsidP="00670C65">
      <w:pPr>
        <w:rPr>
          <w:rFonts w:ascii="Tahoma" w:hAnsi="Tahoma" w:cs="Tahoma"/>
          <w:b/>
          <w:bCs/>
          <w:color w:val="C15827"/>
          <w:sz w:val="28"/>
          <w:szCs w:val="28"/>
        </w:rPr>
      </w:pPr>
      <w:r>
        <w:rPr>
          <w:rStyle w:val="medialabeltext"/>
          <w:rFonts w:ascii="Tahoma" w:hAnsi="Tahoma" w:cs="Tahoma"/>
          <w:b/>
          <w:bCs/>
          <w:color w:val="535957"/>
          <w:sz w:val="31"/>
          <w:szCs w:val="31"/>
          <w:shd w:val="clear" w:color="auto" w:fill="DAD9E1"/>
        </w:rPr>
        <w:lastRenderedPageBreak/>
        <w:t>Figure </w:t>
      </w:r>
      <w:r>
        <w:rPr>
          <w:rStyle w:val="mediafigurenumber"/>
          <w:rFonts w:ascii="Tahoma" w:hAnsi="Tahoma" w:cs="Tahoma"/>
          <w:b/>
          <w:bCs/>
          <w:color w:val="535957"/>
          <w:sz w:val="31"/>
          <w:szCs w:val="31"/>
          <w:shd w:val="clear" w:color="auto" w:fill="DAD9E1"/>
        </w:rPr>
        <w:t>13.15</w:t>
      </w:r>
    </w:p>
    <w:p w:rsidR="00670C65" w:rsidRDefault="00670C65" w:rsidP="00670C65">
      <w:pPr>
        <w:pStyle w:val="NormalWeb"/>
        <w:shd w:val="clear" w:color="auto" w:fill="FFFFFF"/>
        <w:spacing w:before="75" w:beforeAutospacing="0" w:after="300" w:afterAutospacing="0" w:line="360" w:lineRule="atLeast"/>
        <w:rPr>
          <w:rFonts w:ascii="Tahoma" w:hAnsi="Tahoma" w:cs="Tahoma"/>
          <w:color w:val="575757"/>
          <w:sz w:val="29"/>
          <w:szCs w:val="29"/>
        </w:rPr>
      </w:pPr>
      <w:r>
        <w:rPr>
          <w:rFonts w:ascii="Tahoma" w:hAnsi="Tahoma" w:cs="Tahoma"/>
          <w:color w:val="575757"/>
          <w:sz w:val="29"/>
          <w:szCs w:val="29"/>
        </w:rPr>
        <w:t>Response of the insula and prefrontal cortex (PFC) to “fair” and “unfair” offers.</w:t>
      </w:r>
    </w:p>
    <w:p w:rsidR="00670C65" w:rsidRDefault="00670C65" w:rsidP="00670C65">
      <w:pPr>
        <w:shd w:val="clear" w:color="auto" w:fill="FFFFFF"/>
        <w:jc w:val="center"/>
        <w:rPr>
          <w:rFonts w:ascii="Cambria" w:hAnsi="Cambria" w:cs="Times New Roman"/>
          <w:color w:val="575757"/>
          <w:sz w:val="27"/>
          <w:szCs w:val="27"/>
        </w:rPr>
      </w:pPr>
    </w:p>
    <w:p w:rsidR="00670C65" w:rsidRDefault="00670C65" w:rsidP="00670C65">
      <w:pPr>
        <w:shd w:val="clear" w:color="auto" w:fill="FFFFFF"/>
        <w:spacing w:line="210" w:lineRule="atLeast"/>
        <w:rPr>
          <w:rFonts w:ascii="Tahoma" w:hAnsi="Tahoma" w:cs="Tahoma"/>
          <w:color w:val="666666"/>
          <w:sz w:val="22"/>
          <w:szCs w:val="22"/>
        </w:rPr>
      </w:pPr>
      <w:r>
        <w:rPr>
          <w:rFonts w:ascii="Tahoma" w:hAnsi="Tahoma" w:cs="Tahoma"/>
          <w:color w:val="666666"/>
          <w:sz w:val="22"/>
          <w:szCs w:val="22"/>
        </w:rPr>
        <w:t>(Source: Based on </w:t>
      </w:r>
      <w:proofErr w:type="spellStart"/>
      <w:r>
        <w:rPr>
          <w:rStyle w:val="citation"/>
          <w:rFonts w:ascii="Tahoma" w:hAnsi="Tahoma" w:cs="Tahoma"/>
          <w:color w:val="666666"/>
          <w:sz w:val="22"/>
          <w:szCs w:val="22"/>
        </w:rPr>
        <w:t>Sanfey</w:t>
      </w:r>
      <w:proofErr w:type="spellEnd"/>
      <w:r>
        <w:rPr>
          <w:rStyle w:val="citation"/>
          <w:rFonts w:ascii="Tahoma" w:hAnsi="Tahoma" w:cs="Tahoma"/>
          <w:color w:val="666666"/>
          <w:sz w:val="22"/>
          <w:szCs w:val="22"/>
        </w:rPr>
        <w:t xml:space="preserve"> et al., 2006</w:t>
      </w:r>
      <w:r>
        <w:rPr>
          <w:rFonts w:ascii="Tahoma" w:hAnsi="Tahoma" w:cs="Tahoma"/>
          <w:color w:val="666666"/>
          <w:sz w:val="22"/>
          <w:szCs w:val="22"/>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What about the prefrontal cortex (PFC), which plays such a large role in complex cognitive behaviors? The PFC was also activated by the decision task, but this activation was the same for offers that were rejected and offers that were accepted (</w:t>
      </w:r>
      <w:hyperlink r:id="rId76" w:history="1">
        <w:r>
          <w:rPr>
            <w:rStyle w:val="Hyperlink"/>
            <w:rFonts w:ascii="Cambria" w:hAnsi="Cambria"/>
            <w:color w:val="007DB8"/>
            <w:sz w:val="27"/>
            <w:szCs w:val="27"/>
          </w:rPr>
          <w:t>Figure 13.15b</w:t>
        </w:r>
      </w:hyperlink>
      <w:r>
        <w:rPr>
          <w:rFonts w:ascii="Cambria" w:hAnsi="Cambria"/>
          <w:color w:val="575757"/>
          <w:sz w:val="27"/>
          <w:szCs w:val="27"/>
        </w:rPr>
        <w:t xml:space="preserve">). </w:t>
      </w:r>
      <w:proofErr w:type="spellStart"/>
      <w:r>
        <w:rPr>
          <w:rFonts w:ascii="Cambria" w:hAnsi="Cambria"/>
          <w:color w:val="575757"/>
          <w:sz w:val="27"/>
          <w:szCs w:val="27"/>
        </w:rPr>
        <w:t>Sanfey</w:t>
      </w:r>
      <w:proofErr w:type="spellEnd"/>
      <w:r>
        <w:rPr>
          <w:rFonts w:ascii="Cambria" w:hAnsi="Cambria"/>
          <w:color w:val="575757"/>
          <w:sz w:val="27"/>
          <w:szCs w:val="27"/>
        </w:rPr>
        <w:t xml:space="preserve"> suggests that the function of the PFC may be to deal with the cognitive demands of the task, which involves weighing the choices to determine which decision is best. This decision-making process can be difficult, as the emotional instinct is to reject unfair offers, but the rational decision is to accept all offers so that at least some money can be gained. The PFC might help to regulate this process and implement the best decision based on one’s goals. In the case of an unfair offer, this often means deciding to reject the offer based on the emotional goal of punishing unfairness.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To test this hypothesis, </w:t>
      </w:r>
      <w:proofErr w:type="spellStart"/>
      <w:r>
        <w:rPr>
          <w:rFonts w:ascii="Cambria" w:hAnsi="Cambria"/>
          <w:color w:val="575757"/>
          <w:sz w:val="27"/>
          <w:szCs w:val="27"/>
        </w:rPr>
        <w:t>Knoch</w:t>
      </w:r>
      <w:proofErr w:type="spellEnd"/>
      <w:r>
        <w:rPr>
          <w:rFonts w:ascii="Cambria" w:hAnsi="Cambria"/>
          <w:color w:val="575757"/>
          <w:sz w:val="27"/>
          <w:szCs w:val="27"/>
        </w:rPr>
        <w:t xml:space="preserve"> and colleagues (2006) investigated what would happen to the decision-making process if the PFC was not functioning. In this experiment, participants played the ultimatum game as the responder, but one group of participants had their PFC temporarily deactivated by transcranial magnetic stimulation (TMS; see </w:t>
      </w:r>
      <w:hyperlink r:id="rId77" w:history="1">
        <w:r>
          <w:rPr>
            <w:rStyle w:val="Hyperlink"/>
            <w:rFonts w:ascii="Cambria" w:hAnsi="Cambria"/>
            <w:color w:val="007DB8"/>
            <w:sz w:val="27"/>
            <w:szCs w:val="27"/>
          </w:rPr>
          <w:t>Method: Transcranial Magnetic Stimulation (TMS)</w:t>
        </w:r>
      </w:hyperlink>
      <w:r>
        <w:rPr>
          <w:rFonts w:ascii="Cambria" w:hAnsi="Cambria"/>
          <w:color w:val="575757"/>
          <w:sz w:val="27"/>
          <w:szCs w:val="27"/>
        </w:rPr>
        <w:t xml:space="preserve">), while other participants were in the control “sham” condition, which looked and felt indistinguishable from TMS but did not disturb PFC functioning. Participants in both groups rated low offers as equally unfair; however, the participants with their PFC deactivated were significantly more likely to accept those unfair offers (see also </w:t>
      </w:r>
      <w:proofErr w:type="spellStart"/>
      <w:r>
        <w:rPr>
          <w:rFonts w:ascii="Cambria" w:hAnsi="Cambria"/>
          <w:color w:val="575757"/>
          <w:sz w:val="27"/>
          <w:szCs w:val="27"/>
        </w:rPr>
        <w:t>van’t</w:t>
      </w:r>
      <w:proofErr w:type="spellEnd"/>
      <w:r>
        <w:rPr>
          <w:rFonts w:ascii="Cambria" w:hAnsi="Cambria"/>
          <w:color w:val="575757"/>
          <w:sz w:val="27"/>
          <w:szCs w:val="27"/>
        </w:rPr>
        <w:t xml:space="preserve"> </w:t>
      </w:r>
      <w:proofErr w:type="spellStart"/>
      <w:r>
        <w:rPr>
          <w:rFonts w:ascii="Cambria" w:hAnsi="Cambria"/>
          <w:color w:val="575757"/>
          <w:sz w:val="27"/>
          <w:szCs w:val="27"/>
        </w:rPr>
        <w:t>Wout</w:t>
      </w:r>
      <w:proofErr w:type="spellEnd"/>
      <w:r>
        <w:rPr>
          <w:rFonts w:ascii="Cambria" w:hAnsi="Cambria"/>
          <w:color w:val="575757"/>
          <w:sz w:val="27"/>
          <w:szCs w:val="27"/>
        </w:rPr>
        <w:t xml:space="preserve"> et al., 2005). This finding indicates that the PFC plays an important role in implementing the cognitively demanding decision to reject unfair offers, such that without a functioning PFC, unfair offers are more likely to be accepted. This study adds to </w:t>
      </w:r>
      <w:proofErr w:type="spellStart"/>
      <w:r>
        <w:rPr>
          <w:rFonts w:ascii="Cambria" w:hAnsi="Cambria"/>
          <w:color w:val="575757"/>
          <w:sz w:val="27"/>
          <w:szCs w:val="27"/>
        </w:rPr>
        <w:t>Sanfey’s</w:t>
      </w:r>
      <w:proofErr w:type="spellEnd"/>
      <w:r>
        <w:rPr>
          <w:rFonts w:ascii="Cambria" w:hAnsi="Cambria"/>
          <w:color w:val="575757"/>
          <w:sz w:val="27"/>
          <w:szCs w:val="27"/>
        </w:rPr>
        <w:t xml:space="preserve"> initial fMRI study by providing causal evidence of the role of the PFC in decision making.</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lastRenderedPageBreak/>
        <w:t>The PFC as well as the insula have been shown to be involved not only in </w:t>
      </w:r>
      <w:r>
        <w:rPr>
          <w:rStyle w:val="Emphasis"/>
          <w:rFonts w:ascii="Cambria" w:hAnsi="Cambria"/>
          <w:color w:val="575757"/>
          <w:sz w:val="27"/>
          <w:szCs w:val="27"/>
        </w:rPr>
        <w:t>social</w:t>
      </w:r>
      <w:r>
        <w:rPr>
          <w:rFonts w:ascii="Cambria" w:hAnsi="Cambria"/>
          <w:color w:val="575757"/>
          <w:sz w:val="27"/>
          <w:szCs w:val="27"/>
        </w:rPr>
        <w:t> decisions—that is, decisions involving other people, as in the ultimatum game—but in individual decisions as well, such as whether to purchase a particular model of camera at the store. Research by Brian Knutson and coworkers (2007) has found that your brain activation when viewing a product can actually predict whether you will purchase it.</w:t>
      </w:r>
      <w:bookmarkStart w:id="27" w:name="PageEnd_421"/>
      <w:bookmarkEnd w:id="27"/>
      <w:r>
        <w:rPr>
          <w:rFonts w:ascii="Cambria" w:hAnsi="Cambria"/>
          <w:color w:val="575757"/>
          <w:sz w:val="27"/>
          <w:szCs w:val="27"/>
        </w:rPr>
        <w:t> Participants in Knutson’s study viewed pictures of products and their prices while brain activity was measured using fMRI. The participants’ task was to subsequently decide whether they would purchase the item.</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Consistent with the other research described in this section, the PFC was shown to be involved in this decision-making task; specifically, increased PFC activation while viewing the product predicted subsequent decisions to purchase that product. Interestingly, the insula also predicted purchase decisions, but in a different way; the insula was particularly active when participants viewed excessively priced items, and this activation predicted decisions </w:t>
      </w:r>
      <w:r>
        <w:rPr>
          <w:rStyle w:val="Emphasis"/>
          <w:rFonts w:ascii="Cambria" w:hAnsi="Cambria"/>
          <w:color w:val="575757"/>
          <w:sz w:val="27"/>
          <w:szCs w:val="27"/>
        </w:rPr>
        <w:t>not</w:t>
      </w:r>
      <w:r>
        <w:rPr>
          <w:rFonts w:ascii="Cambria" w:hAnsi="Cambria"/>
          <w:color w:val="575757"/>
          <w:sz w:val="27"/>
          <w:szCs w:val="27"/>
        </w:rPr>
        <w:t xml:space="preserve"> to purchase. This makes sense, as you can probably recall a time when you saw an excessively overpriced item at the store that made you feel disgusted, annoyed, or even mildly distressed—all negative emotions that, as we saw in </w:t>
      </w:r>
      <w:proofErr w:type="spellStart"/>
      <w:r>
        <w:rPr>
          <w:rFonts w:ascii="Cambria" w:hAnsi="Cambria"/>
          <w:color w:val="575757"/>
          <w:sz w:val="27"/>
          <w:szCs w:val="27"/>
        </w:rPr>
        <w:t>Sanfey’s</w:t>
      </w:r>
      <w:proofErr w:type="spellEnd"/>
      <w:r>
        <w:rPr>
          <w:rFonts w:ascii="Cambria" w:hAnsi="Cambria"/>
          <w:color w:val="575757"/>
          <w:sz w:val="27"/>
          <w:szCs w:val="27"/>
        </w:rPr>
        <w:t xml:space="preserve"> study (</w:t>
      </w:r>
      <w:hyperlink r:id="rId78" w:history="1">
        <w:r>
          <w:rPr>
            <w:rStyle w:val="Hyperlink"/>
            <w:rFonts w:ascii="Cambria" w:hAnsi="Cambria"/>
            <w:color w:val="007DB8"/>
            <w:sz w:val="27"/>
            <w:szCs w:val="27"/>
          </w:rPr>
          <w:t>Figure 13.15a</w:t>
        </w:r>
      </w:hyperlink>
      <w:r>
        <w:rPr>
          <w:rFonts w:ascii="Cambria" w:hAnsi="Cambria"/>
          <w:color w:val="575757"/>
          <w:sz w:val="27"/>
          <w:szCs w:val="27"/>
        </w:rPr>
        <w:t>), involve the insula. Knutson’s research furthers our understanding of the underlying neural correlates of those negative feelings and how they can influence everyday decisions.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Although all of this recent research has greatly bolstered our understanding of the neural basis of decision making, there is still a great deal that we don’t know. Neuroeconomics is a relatively new area of study, and researchers are continuing to look for links between brain activation, potential payoffs or losses, and other aspects of decision making (</w:t>
      </w:r>
      <w:r>
        <w:rPr>
          <w:rStyle w:val="citation"/>
          <w:rFonts w:ascii="Cambria" w:hAnsi="Cambria"/>
          <w:color w:val="575757"/>
          <w:sz w:val="27"/>
          <w:szCs w:val="27"/>
        </w:rPr>
        <w:t xml:space="preserve">Levy &amp; </w:t>
      </w:r>
      <w:proofErr w:type="spellStart"/>
      <w:r>
        <w:rPr>
          <w:rStyle w:val="citation"/>
          <w:rFonts w:ascii="Cambria" w:hAnsi="Cambria"/>
          <w:color w:val="575757"/>
          <w:sz w:val="27"/>
          <w:szCs w:val="27"/>
        </w:rPr>
        <w:t>Glimcher</w:t>
      </w:r>
      <w:proofErr w:type="spellEnd"/>
      <w:r>
        <w:rPr>
          <w:rStyle w:val="citation"/>
          <w:rFonts w:ascii="Cambria" w:hAnsi="Cambria"/>
          <w:color w:val="575757"/>
          <w:sz w:val="27"/>
          <w:szCs w:val="27"/>
        </w:rPr>
        <w:t>, 2013</w:t>
      </w:r>
      <w:r>
        <w:rPr>
          <w:rFonts w:ascii="Cambria" w:hAnsi="Cambria"/>
          <w:color w:val="575757"/>
          <w:sz w:val="27"/>
          <w:szCs w:val="27"/>
        </w:rPr>
        <w:t>; </w:t>
      </w:r>
      <w:r>
        <w:rPr>
          <w:rStyle w:val="citation"/>
          <w:rFonts w:ascii="Cambria" w:hAnsi="Cambria"/>
          <w:color w:val="575757"/>
          <w:sz w:val="27"/>
          <w:szCs w:val="27"/>
        </w:rPr>
        <w:t>Lowenstein et al., 2008</w:t>
      </w:r>
      <w:r>
        <w:rPr>
          <w:rFonts w:ascii="Cambria" w:hAnsi="Cambria"/>
          <w:color w:val="575757"/>
          <w:sz w:val="27"/>
          <w:szCs w:val="27"/>
        </w:rPr>
        <w:t>; </w:t>
      </w:r>
      <w:proofErr w:type="spellStart"/>
      <w:r>
        <w:rPr>
          <w:rStyle w:val="citation"/>
          <w:rFonts w:ascii="Cambria" w:hAnsi="Cambria"/>
          <w:color w:val="575757"/>
          <w:sz w:val="27"/>
          <w:szCs w:val="27"/>
        </w:rPr>
        <w:t>Sanfey</w:t>
      </w:r>
      <w:proofErr w:type="spellEnd"/>
      <w:r>
        <w:rPr>
          <w:rStyle w:val="citation"/>
          <w:rFonts w:ascii="Cambria" w:hAnsi="Cambria"/>
          <w:color w:val="575757"/>
          <w:sz w:val="27"/>
          <w:szCs w:val="27"/>
        </w:rPr>
        <w:t xml:space="preserve"> et al., 2006</w:t>
      </w:r>
      <w:r>
        <w:rPr>
          <w:rFonts w:ascii="Cambria" w:hAnsi="Cambria"/>
          <w:color w:val="575757"/>
          <w:sz w:val="27"/>
          <w:szCs w:val="27"/>
        </w:rPr>
        <w:t>). Additionally, neuroimaging technology continues to become more advanced, available, and powerful, which can help researchers reach conclusions about what might be happening in the brain.</w:t>
      </w:r>
    </w:p>
    <w:p w:rsidR="00670C65" w:rsidRDefault="00670C65" w:rsidP="00670C65">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13-4</w:t>
      </w:r>
      <w:r>
        <w:rPr>
          <w:rStyle w:val="headingtext"/>
          <w:rFonts w:ascii="Tahoma" w:hAnsi="Tahoma" w:cs="Tahoma"/>
          <w:b w:val="0"/>
          <w:bCs w:val="0"/>
          <w:color w:val="007DB8"/>
        </w:rPr>
        <w:t>Something to Consider</w:t>
      </w:r>
    </w:p>
    <w:p w:rsidR="00670C65" w:rsidRDefault="00670C65" w:rsidP="00670C65">
      <w:pPr>
        <w:pStyle w:val="Heading2"/>
        <w:shd w:val="clear" w:color="auto" w:fill="FFFFFF"/>
        <w:spacing w:before="0"/>
        <w:rPr>
          <w:rFonts w:ascii="Tahoma" w:hAnsi="Tahoma" w:cs="Tahoma"/>
          <w:b/>
          <w:bCs/>
          <w:color w:val="DF7300"/>
          <w:sz w:val="41"/>
          <w:szCs w:val="41"/>
        </w:rPr>
      </w:pPr>
      <w:r>
        <w:rPr>
          <w:rStyle w:val="sectionlabel"/>
          <w:rFonts w:ascii="Tahoma" w:hAnsi="Tahoma" w:cs="Tahoma"/>
          <w:color w:val="7A7A7A"/>
          <w:sz w:val="30"/>
          <w:szCs w:val="30"/>
        </w:rPr>
        <w:lastRenderedPageBreak/>
        <w:t>13-4a</w:t>
      </w:r>
      <w:r>
        <w:rPr>
          <w:rStyle w:val="headingtext"/>
          <w:rFonts w:ascii="Tahoma" w:hAnsi="Tahoma" w:cs="Tahoma"/>
          <w:color w:val="DF7300"/>
          <w:sz w:val="41"/>
          <w:szCs w:val="41"/>
        </w:rPr>
        <w:t>The Dual Systems Approach to Thinking</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One of the things that runs through our discussion of judgments, reasoning, and decisions is that people make mistakes. In making judgments, we are misled by heuristics like availability or representativeness. In reasoning by syllogism, we are good at judging the validity of simple syllogisms but are easily misled by the belief bias for more complex ones. In making decisions, we can be influenced by emotions, context, and how choices are presented, even if these things have nothing to do with the decision and don’t optimize gains. We will see that these errors all have something in common, but first quickly solve the following simple puzzle in your head by using your intuition:</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A bat and a ball cost $1.10.</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The bat costs one dollar more than the ball.</w:t>
      </w:r>
    </w:p>
    <w:p w:rsidR="00670C65" w:rsidRDefault="00670C65" w:rsidP="00670C65">
      <w:pPr>
        <w:pStyle w:val="NormalWeb"/>
        <w:shd w:val="clear" w:color="auto" w:fill="F9F9F9"/>
        <w:spacing w:before="0" w:beforeAutospacing="0" w:after="225" w:afterAutospacing="0"/>
        <w:rPr>
          <w:rFonts w:ascii="Cambria" w:hAnsi="Cambria"/>
          <w:color w:val="575757"/>
          <w:sz w:val="27"/>
          <w:szCs w:val="27"/>
        </w:rPr>
      </w:pPr>
      <w:r>
        <w:rPr>
          <w:rFonts w:ascii="Cambria" w:hAnsi="Cambria"/>
          <w:color w:val="575757"/>
          <w:sz w:val="27"/>
          <w:szCs w:val="27"/>
        </w:rPr>
        <w:t>How much does the ball cost?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Did a number come to your mind? If so, it was probably 10 cents (Frederick, 2005; </w:t>
      </w:r>
      <w:r>
        <w:rPr>
          <w:rStyle w:val="citation"/>
          <w:rFonts w:ascii="Cambria" w:eastAsiaTheme="majorEastAsia" w:hAnsi="Cambria"/>
          <w:color w:val="575757"/>
          <w:sz w:val="27"/>
          <w:szCs w:val="27"/>
        </w:rPr>
        <w:t>Kahneman, 2011</w:t>
      </w:r>
      <w:r>
        <w:rPr>
          <w:rFonts w:ascii="Cambria" w:hAnsi="Cambria"/>
          <w:color w:val="575757"/>
          <w:sz w:val="27"/>
          <w:szCs w:val="27"/>
        </w:rPr>
        <w:t>). This answer, which immediately comes to mind, is wrong, but if that was your answer, you are not alone. More than half of thousands of participants who tried this problem answered 10 cents (</w:t>
      </w:r>
      <w:r>
        <w:rPr>
          <w:rStyle w:val="citation"/>
          <w:rFonts w:ascii="Cambria" w:eastAsiaTheme="majorEastAsia" w:hAnsi="Cambria"/>
          <w:color w:val="575757"/>
          <w:sz w:val="27"/>
          <w:szCs w:val="27"/>
        </w:rPr>
        <w:t>Fredrick, 2005</w:t>
      </w:r>
      <w:r>
        <w:rPr>
          <w:rFonts w:ascii="Cambria" w:hAnsi="Cambria"/>
          <w:color w:val="575757"/>
          <w:sz w:val="27"/>
          <w:szCs w:val="27"/>
        </w:rPr>
        <w:t>). Further thought indicates that the answer is 5 cents ($1.05 + $0.05 = $1.10), but why does 10 cents jump out for many people?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Daniel </w:t>
      </w:r>
      <w:r>
        <w:rPr>
          <w:rStyle w:val="citation"/>
          <w:rFonts w:ascii="Cambria" w:eastAsiaTheme="majorEastAsia" w:hAnsi="Cambria"/>
          <w:color w:val="575757"/>
          <w:sz w:val="27"/>
          <w:szCs w:val="27"/>
        </w:rPr>
        <w:t>Kahneman (2011)</w:t>
      </w:r>
      <w:r>
        <w:rPr>
          <w:rFonts w:ascii="Cambria" w:hAnsi="Cambria"/>
          <w:color w:val="575757"/>
          <w:sz w:val="27"/>
          <w:szCs w:val="27"/>
        </w:rPr>
        <w:t>, in his best-selling book </w:t>
      </w:r>
      <w:r>
        <w:rPr>
          <w:rStyle w:val="Emphasis"/>
          <w:rFonts w:ascii="Cambria" w:eastAsiaTheme="majorEastAsia" w:hAnsi="Cambria"/>
          <w:color w:val="575757"/>
          <w:sz w:val="27"/>
          <w:szCs w:val="27"/>
        </w:rPr>
        <w:t>Thinking Fast and Slow</w:t>
      </w:r>
      <w:r>
        <w:rPr>
          <w:rFonts w:ascii="Cambria" w:hAnsi="Cambria"/>
          <w:color w:val="575757"/>
          <w:sz w:val="27"/>
          <w:szCs w:val="27"/>
        </w:rPr>
        <w:t>, uses the bat and ball example to illustrate the </w:t>
      </w:r>
      <w:hyperlink r:id="rId79" w:history="1">
        <w:r>
          <w:rPr>
            <w:rStyle w:val="primaryterm"/>
            <w:rFonts w:ascii="Cambria" w:hAnsi="Cambria"/>
            <w:b/>
            <w:bCs/>
            <w:color w:val="0081BC"/>
            <w:sz w:val="27"/>
            <w:szCs w:val="27"/>
          </w:rPr>
          <w:t>dual systems approach</w:t>
        </w:r>
      </w:hyperlink>
      <w:r>
        <w:rPr>
          <w:rFonts w:ascii="Cambria" w:hAnsi="Cambria"/>
          <w:color w:val="575757"/>
          <w:sz w:val="27"/>
          <w:szCs w:val="27"/>
        </w:rPr>
        <w:t xml:space="preserve"> to thinking: the idea that there are two mental systems—a fast, automatic, intuitive system, which Kahneman calls System 1, which may have seduced you into the 10 cent answer, and a slower, more deliberative, thoughtful system called System 2, which you would have used if you had thought about the problem more carefully. Other psychologists, including Keith Stanovich and Richard West (2000; </w:t>
      </w:r>
      <w:proofErr w:type="gramStart"/>
      <w:r>
        <w:rPr>
          <w:rFonts w:ascii="Cambria" w:hAnsi="Cambria"/>
          <w:color w:val="575757"/>
          <w:sz w:val="27"/>
          <w:szCs w:val="27"/>
        </w:rPr>
        <w:t>also</w:t>
      </w:r>
      <w:proofErr w:type="gramEnd"/>
      <w:r>
        <w:rPr>
          <w:rFonts w:ascii="Cambria" w:hAnsi="Cambria"/>
          <w:color w:val="575757"/>
          <w:sz w:val="27"/>
          <w:szCs w:val="27"/>
        </w:rPr>
        <w:t> </w:t>
      </w:r>
      <w:r>
        <w:rPr>
          <w:rStyle w:val="citation"/>
          <w:rFonts w:ascii="Cambria" w:eastAsiaTheme="majorEastAsia" w:hAnsi="Cambria"/>
          <w:color w:val="575757"/>
          <w:sz w:val="27"/>
          <w:szCs w:val="27"/>
        </w:rPr>
        <w:t>Stanovich, 1999</w:t>
      </w:r>
      <w:r>
        <w:rPr>
          <w:rFonts w:ascii="Cambria" w:hAnsi="Cambria"/>
          <w:color w:val="575757"/>
          <w:sz w:val="27"/>
          <w:szCs w:val="27"/>
        </w:rPr>
        <w:t>, </w:t>
      </w:r>
      <w:r>
        <w:rPr>
          <w:rStyle w:val="citation"/>
          <w:rFonts w:ascii="Cambria" w:eastAsiaTheme="majorEastAsia" w:hAnsi="Cambria"/>
          <w:color w:val="575757"/>
          <w:sz w:val="27"/>
          <w:szCs w:val="27"/>
        </w:rPr>
        <w:t>2011</w:t>
      </w:r>
      <w:r>
        <w:rPr>
          <w:rFonts w:ascii="Cambria" w:hAnsi="Cambria"/>
          <w:color w:val="575757"/>
          <w:sz w:val="27"/>
          <w:szCs w:val="27"/>
        </w:rPr>
        <w:t xml:space="preserve">), who originally proposed the idea of dual systems, favor the terms Type 1 processing and Type 2 processing. We will use System 1 and System 2 for </w:t>
      </w:r>
      <w:proofErr w:type="gramStart"/>
      <w:r>
        <w:rPr>
          <w:rFonts w:ascii="Cambria" w:hAnsi="Cambria"/>
          <w:color w:val="575757"/>
          <w:sz w:val="27"/>
          <w:szCs w:val="27"/>
        </w:rPr>
        <w:t xml:space="preserve">simplicity, </w:t>
      </w:r>
      <w:r>
        <w:rPr>
          <w:rFonts w:ascii="Cambria" w:hAnsi="Cambria"/>
          <w:color w:val="575757"/>
          <w:sz w:val="27"/>
          <w:szCs w:val="27"/>
        </w:rPr>
        <w:lastRenderedPageBreak/>
        <w:t>but</w:t>
      </w:r>
      <w:proofErr w:type="gramEnd"/>
      <w:r>
        <w:rPr>
          <w:rFonts w:ascii="Cambria" w:hAnsi="Cambria"/>
          <w:color w:val="575757"/>
          <w:sz w:val="27"/>
          <w:szCs w:val="27"/>
        </w:rPr>
        <w:t xml:space="preserve"> will return to Type 1 and Type 2 processing at the end of our discussion.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bookmarkStart w:id="28" w:name="PageEnd_422"/>
      <w:bookmarkEnd w:id="28"/>
      <w:r>
        <w:rPr>
          <w:rFonts w:ascii="Cambria" w:hAnsi="Cambria"/>
          <w:color w:val="575757"/>
          <w:sz w:val="27"/>
          <w:szCs w:val="27"/>
        </w:rPr>
        <w:t>This distinction between two systems or types of processing proposes that the two systems have the following properties (Evans &amp; Stanovich, 2013):</w:t>
      </w:r>
    </w:p>
    <w:tbl>
      <w:tblPr>
        <w:tblW w:w="4800" w:type="dxa"/>
        <w:tblCellMar>
          <w:left w:w="225" w:type="dxa"/>
          <w:right w:w="225" w:type="dxa"/>
        </w:tblCellMar>
        <w:tblLook w:val="04A0" w:firstRow="1" w:lastRow="0" w:firstColumn="1" w:lastColumn="0" w:noHBand="0" w:noVBand="1"/>
      </w:tblPr>
      <w:tblGrid>
        <w:gridCol w:w="2741"/>
        <w:gridCol w:w="2059"/>
      </w:tblGrid>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eastAsiaTheme="majorEastAsia" w:hAnsi="Tahoma" w:cs="Tahoma"/>
                <w:color w:val="575757"/>
                <w:sz w:val="20"/>
                <w:szCs w:val="20"/>
              </w:rPr>
              <w:t>System 1</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Style w:val="Emphasis"/>
                <w:rFonts w:ascii="Tahoma" w:eastAsiaTheme="majorEastAsia" w:hAnsi="Tahoma" w:cs="Tahoma"/>
                <w:color w:val="575757"/>
                <w:sz w:val="20"/>
                <w:szCs w:val="20"/>
              </w:rPr>
              <w:t>System 2</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Intuitive</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Reflective</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Fast</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Slow</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Nonconscious</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Conscious</w:t>
            </w:r>
          </w:p>
        </w:tc>
      </w:tr>
      <w:tr w:rsidR="00670C65" w:rsidTr="00670C65">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Automatic</w:t>
            </w:r>
          </w:p>
        </w:tc>
        <w:tc>
          <w:tcPr>
            <w:tcW w:w="0" w:type="auto"/>
            <w:tcBorders>
              <w:top w:val="nil"/>
              <w:left w:val="nil"/>
              <w:bottom w:val="nil"/>
              <w:right w:val="nil"/>
            </w:tcBorders>
            <w:shd w:val="clear" w:color="auto" w:fill="auto"/>
            <w:tcMar>
              <w:top w:w="30" w:type="dxa"/>
              <w:left w:w="0" w:type="dxa"/>
              <w:bottom w:w="30" w:type="dxa"/>
              <w:right w:w="30" w:type="dxa"/>
            </w:tcMar>
            <w:hideMark/>
          </w:tcPr>
          <w:p w:rsidR="00670C65" w:rsidRDefault="00670C65">
            <w:pPr>
              <w:pStyle w:val="NormalWeb"/>
              <w:spacing w:before="0" w:beforeAutospacing="0" w:after="0" w:afterAutospacing="0"/>
              <w:rPr>
                <w:rFonts w:ascii="Tahoma" w:hAnsi="Tahoma" w:cs="Tahoma"/>
                <w:color w:val="575757"/>
                <w:sz w:val="20"/>
                <w:szCs w:val="20"/>
              </w:rPr>
            </w:pPr>
            <w:r>
              <w:rPr>
                <w:rFonts w:ascii="Tahoma" w:hAnsi="Tahoma" w:cs="Tahoma"/>
                <w:color w:val="575757"/>
                <w:sz w:val="20"/>
                <w:szCs w:val="20"/>
              </w:rPr>
              <w:t>Controlled</w:t>
            </w:r>
          </w:p>
        </w:tc>
      </w:tr>
    </w:tbl>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System 1 is linked to many of the errors we have described in this chapter. For example, the belief bias misleads us about the validity of a syllogism when we take into account the believability or lack of believability of the syllogism’s conclusion. This influence of believability is the work of System 1. Evidence that System 1 is involved in the belief bias is that evaluating syllogisms under time pressure increases the belief bias effect (Evans &amp; Curtis-Holmes, 2005). Participants also make more errors in the “Linda the bank teller” problem when they are asked to respond quickly (De </w:t>
      </w:r>
      <w:proofErr w:type="spellStart"/>
      <w:r>
        <w:rPr>
          <w:rFonts w:ascii="Cambria" w:hAnsi="Cambria"/>
          <w:color w:val="575757"/>
          <w:sz w:val="27"/>
          <w:szCs w:val="27"/>
        </w:rPr>
        <w:t>Neys</w:t>
      </w:r>
      <w:proofErr w:type="spellEnd"/>
      <w:r>
        <w:rPr>
          <w:rFonts w:ascii="Cambria" w:hAnsi="Cambria"/>
          <w:color w:val="575757"/>
          <w:sz w:val="27"/>
          <w:szCs w:val="27"/>
        </w:rPr>
        <w:t>, 2006).</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System 1 might also be using the availability and representativeness heuristics to arrive at conclusions quickly and </w:t>
      </w:r>
      <w:proofErr w:type="gramStart"/>
      <w:r>
        <w:rPr>
          <w:rFonts w:ascii="Cambria" w:hAnsi="Cambria"/>
          <w:color w:val="575757"/>
          <w:sz w:val="27"/>
          <w:szCs w:val="27"/>
        </w:rPr>
        <w:t>effortlessly, and</w:t>
      </w:r>
      <w:proofErr w:type="gramEnd"/>
      <w:r>
        <w:rPr>
          <w:rFonts w:ascii="Cambria" w:hAnsi="Cambria"/>
          <w:color w:val="575757"/>
          <w:sz w:val="27"/>
          <w:szCs w:val="27"/>
        </w:rPr>
        <w:t xml:space="preserve"> might not consider the law of large numbers. In the </w:t>
      </w:r>
      <w:proofErr w:type="spellStart"/>
      <w:r>
        <w:rPr>
          <w:rFonts w:ascii="Cambria" w:hAnsi="Cambria"/>
          <w:color w:val="575757"/>
          <w:sz w:val="27"/>
          <w:szCs w:val="27"/>
        </w:rPr>
        <w:t>Wason</w:t>
      </w:r>
      <w:proofErr w:type="spellEnd"/>
      <w:r>
        <w:rPr>
          <w:rFonts w:ascii="Cambria" w:hAnsi="Cambria"/>
          <w:color w:val="575757"/>
          <w:sz w:val="27"/>
          <w:szCs w:val="27"/>
        </w:rPr>
        <w:t xml:space="preserve"> four-card task, the abstract version involving letters and numbers is out of System 1’s league because it involves thoughtful reasoning, but real-world versions (such as the beer and drinking age example) can be easily solved by System 1 using intuition (Evans &amp; Stanovich, 2013). System 1 might also be in play when we quickly evaluate evidence that we see in the news; we see a story that just “makes sense,” as in the case of the malformed daisies produced by the nuclear disaster (</w:t>
      </w:r>
      <w:proofErr w:type="spellStart"/>
      <w:r>
        <w:rPr>
          <w:rStyle w:val="citation"/>
          <w:rFonts w:ascii="Cambria" w:eastAsiaTheme="majorEastAsia" w:hAnsi="Cambria"/>
          <w:color w:val="575757"/>
          <w:sz w:val="27"/>
          <w:szCs w:val="27"/>
        </w:rPr>
        <w:t>Wineburg</w:t>
      </w:r>
      <w:proofErr w:type="spellEnd"/>
      <w:r>
        <w:rPr>
          <w:rStyle w:val="citation"/>
          <w:rFonts w:ascii="Cambria" w:eastAsiaTheme="majorEastAsia" w:hAnsi="Cambria"/>
          <w:color w:val="575757"/>
          <w:sz w:val="27"/>
          <w:szCs w:val="27"/>
        </w:rPr>
        <w:t xml:space="preserve"> et al., 2016</w:t>
      </w:r>
      <w:r>
        <w:rPr>
          <w:rFonts w:ascii="Cambria" w:hAnsi="Cambria"/>
          <w:color w:val="575757"/>
          <w:sz w:val="27"/>
          <w:szCs w:val="27"/>
        </w:rPr>
        <w:t>), and just accept it without thinking critically about its source.</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But System 2 can intervene. Taking some time to step back and think logically about the situation gives System 2 time to operate. When participants are given instructions that encourage them to take time to focus on the logic behind a </w:t>
      </w:r>
      <w:r>
        <w:rPr>
          <w:rFonts w:ascii="Cambria" w:hAnsi="Cambria"/>
          <w:color w:val="575757"/>
          <w:sz w:val="27"/>
          <w:szCs w:val="27"/>
        </w:rPr>
        <w:lastRenderedPageBreak/>
        <w:t>syllogism, for instance, System 2 is more likely to operate, and errors go down (Evans &amp; Stanovich, 2013).</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But before we condemn System 1 as being completely inept, we need to consider that in our day-to-day lives, System 1 is often running the show. Many of the things we do are automatically controlled by System 1. We perceive things in the environment, react to a loud noise, read emotions in someone’s face, or negotiate a curve while driving. All of these things are taken care of by System 1. As we saw when we considered perception and attention, having some things taken care of automatically and without conscious effort is a good thing, because it means we don’t have to be monitoring our every thought and move. Kahneman sees System 1 as providing information for System 2—most of which is accurate and is accepted—while System 2 is idling in the background monitoring the information.</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However, when the going gets tough, System 2 can take over. Although System 1 may be taking care of routine driving, System 2 takes over when close attention is needed, as when entering a construction zone or passing a large truck at 70 miles an hour. System 2 is also mobilized when a question arises for which System 1 doesn’t have an answer. As Kahneman puts it, System 1 automatically calculates 2 + 2 </w:t>
      </w:r>
      <w:proofErr w:type="gramStart"/>
      <w:r>
        <w:rPr>
          <w:rFonts w:ascii="Cambria" w:hAnsi="Cambria"/>
          <w:color w:val="575757"/>
          <w:sz w:val="27"/>
          <w:szCs w:val="27"/>
        </w:rPr>
        <w:t>= ?</w:t>
      </w:r>
      <w:proofErr w:type="gramEnd"/>
      <w:r>
        <w:rPr>
          <w:rFonts w:ascii="Cambria" w:hAnsi="Cambria"/>
          <w:color w:val="575757"/>
          <w:sz w:val="27"/>
          <w:szCs w:val="27"/>
        </w:rPr>
        <w:t xml:space="preserve"> (you couldn’t keep yourself from saying 4, right?), but can’t deal with 27 × 13. This is a problem for System 2.</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This idea of two mental systems is an important one, because it explains many of the mistakes we make in terms of different mental systems or mechanisms. It is important to note, however, that there are many different varieties of dual process theories, which differ in </w:t>
      </w:r>
      <w:proofErr w:type="gramStart"/>
      <w:r>
        <w:rPr>
          <w:rFonts w:ascii="Cambria" w:hAnsi="Cambria"/>
          <w:color w:val="575757"/>
          <w:sz w:val="27"/>
          <w:szCs w:val="27"/>
        </w:rPr>
        <w:t>details</w:t>
      </w:r>
      <w:proofErr w:type="gramEnd"/>
      <w:r>
        <w:rPr>
          <w:rFonts w:ascii="Cambria" w:hAnsi="Cambria"/>
          <w:color w:val="575757"/>
          <w:sz w:val="27"/>
          <w:szCs w:val="27"/>
        </w:rPr>
        <w:t>. Also, some researchers have proposed that two processes aren’t necessary and have proposed a single-system approach (Evans &amp; Stanovich, 2013; </w:t>
      </w:r>
      <w:proofErr w:type="spellStart"/>
      <w:r>
        <w:rPr>
          <w:rStyle w:val="citation"/>
          <w:rFonts w:ascii="Cambria" w:eastAsiaTheme="majorEastAsia" w:hAnsi="Cambria"/>
          <w:color w:val="575757"/>
          <w:sz w:val="27"/>
          <w:szCs w:val="27"/>
        </w:rPr>
        <w:t>Gigerenzer</w:t>
      </w:r>
      <w:proofErr w:type="spellEnd"/>
      <w:r>
        <w:rPr>
          <w:rStyle w:val="citation"/>
          <w:rFonts w:ascii="Cambria" w:eastAsiaTheme="majorEastAsia" w:hAnsi="Cambria"/>
          <w:color w:val="575757"/>
          <w:sz w:val="27"/>
          <w:szCs w:val="27"/>
        </w:rPr>
        <w:t>, 2011</w:t>
      </w:r>
      <w:r>
        <w:rPr>
          <w:rFonts w:ascii="Cambria" w:hAnsi="Cambria"/>
          <w:color w:val="575757"/>
          <w:sz w:val="27"/>
          <w:szCs w:val="27"/>
        </w:rPr>
        <w:t>; Keren &amp; </w:t>
      </w:r>
      <w:proofErr w:type="spellStart"/>
      <w:r>
        <w:rPr>
          <w:rStyle w:val="citation"/>
          <w:rFonts w:ascii="Cambria" w:eastAsiaTheme="majorEastAsia" w:hAnsi="Cambria"/>
          <w:color w:val="575757"/>
          <w:sz w:val="27"/>
          <w:szCs w:val="27"/>
        </w:rPr>
        <w:t>Schul</w:t>
      </w:r>
      <w:proofErr w:type="spellEnd"/>
      <w:r>
        <w:rPr>
          <w:rStyle w:val="citation"/>
          <w:rFonts w:ascii="Cambria" w:eastAsiaTheme="majorEastAsia" w:hAnsi="Cambria"/>
          <w:color w:val="575757"/>
          <w:sz w:val="27"/>
          <w:szCs w:val="27"/>
        </w:rPr>
        <w:t>, 2009</w:t>
      </w:r>
      <w:r>
        <w:rPr>
          <w:rFonts w:ascii="Cambria" w:hAnsi="Cambria"/>
          <w:color w:val="575757"/>
          <w:sz w:val="27"/>
          <w:szCs w:val="27"/>
        </w:rPr>
        <w:t xml:space="preserve">; </w:t>
      </w:r>
      <w:proofErr w:type="spellStart"/>
      <w:r>
        <w:rPr>
          <w:rFonts w:ascii="Cambria" w:hAnsi="Cambria"/>
          <w:color w:val="575757"/>
          <w:sz w:val="27"/>
          <w:szCs w:val="27"/>
        </w:rPr>
        <w:t>Kruglanski</w:t>
      </w:r>
      <w:proofErr w:type="spellEnd"/>
      <w:r>
        <w:rPr>
          <w:rFonts w:ascii="Cambria" w:hAnsi="Cambria"/>
          <w:color w:val="575757"/>
          <w:sz w:val="27"/>
          <w:szCs w:val="27"/>
        </w:rPr>
        <w:t xml:space="preserve"> &amp; </w:t>
      </w:r>
      <w:proofErr w:type="spellStart"/>
      <w:r>
        <w:rPr>
          <w:rStyle w:val="citation"/>
          <w:rFonts w:ascii="Cambria" w:eastAsiaTheme="majorEastAsia" w:hAnsi="Cambria"/>
          <w:color w:val="575757"/>
          <w:sz w:val="27"/>
          <w:szCs w:val="27"/>
        </w:rPr>
        <w:t>Gigerenzer</w:t>
      </w:r>
      <w:proofErr w:type="spellEnd"/>
      <w:r>
        <w:rPr>
          <w:rStyle w:val="citation"/>
          <w:rFonts w:ascii="Cambria" w:eastAsiaTheme="majorEastAsia" w:hAnsi="Cambria"/>
          <w:color w:val="575757"/>
          <w:sz w:val="27"/>
          <w:szCs w:val="27"/>
        </w:rPr>
        <w:t>, 2011</w:t>
      </w:r>
      <w:r>
        <w:rPr>
          <w:rFonts w:ascii="Cambria" w:hAnsi="Cambria"/>
          <w:color w:val="575757"/>
          <w:sz w:val="27"/>
          <w:szCs w:val="27"/>
        </w:rPr>
        <w:t>; </w:t>
      </w:r>
      <w:r>
        <w:rPr>
          <w:rStyle w:val="citation"/>
          <w:rFonts w:ascii="Cambria" w:eastAsiaTheme="majorEastAsia" w:hAnsi="Cambria"/>
          <w:color w:val="575757"/>
          <w:sz w:val="27"/>
          <w:szCs w:val="27"/>
        </w:rPr>
        <w:t>Osman, 2004</w:t>
      </w:r>
      <w:r>
        <w:rPr>
          <w:rFonts w:ascii="Cambria" w:hAnsi="Cambria"/>
          <w:color w:val="575757"/>
          <w:sz w:val="27"/>
          <w:szCs w:val="27"/>
        </w:rPr>
        <w: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To end our discussion of the dual systems approach to thinking, let’s return to the issue of terminology. Although we used Kahneman’s System 1 and System 2 terminology, there is</w:t>
      </w:r>
      <w:bookmarkStart w:id="29" w:name="PageEnd_423"/>
      <w:bookmarkEnd w:id="29"/>
      <w:r>
        <w:rPr>
          <w:rFonts w:ascii="Cambria" w:hAnsi="Cambria"/>
          <w:color w:val="575757"/>
          <w:sz w:val="27"/>
          <w:szCs w:val="27"/>
        </w:rPr>
        <w:t xml:space="preserve"> a reason that many researchers favor using Type 1 processing and Type 2 processing instead. When we talk about two </w:t>
      </w:r>
      <w:r>
        <w:rPr>
          <w:rFonts w:ascii="Cambria" w:hAnsi="Cambria"/>
          <w:color w:val="575757"/>
          <w:sz w:val="27"/>
          <w:szCs w:val="27"/>
        </w:rPr>
        <w:lastRenderedPageBreak/>
        <w:t>“systems,” it almost sounds as though they are two little people in your mind with different characteristics. In fact, in his popular book about dual processing, Kahneman says that you can read about System 1 and System 2 “as a psychodrama with two characters.” Although this idea makes for more interesting reading, and maybe one of the reasons the book is so popular (in addition to Kahneman’s talent for relating psychological theory to everyday life), it is important to realize that these two systems are, in fact, two different types of processing. They are not characters in your head but are the result of complex, interconnected, and distributed processing that is served by many areas of the brain and results in many different behavioral outcomes.</w:t>
      </w:r>
    </w:p>
    <w:p w:rsidR="00670C65" w:rsidRDefault="00670C65" w:rsidP="00670C65">
      <w:pPr>
        <w:pStyle w:val="Heading1"/>
        <w:shd w:val="clear" w:color="auto" w:fill="FFFFFF"/>
        <w:spacing w:before="0" w:beforeAutospacing="0" w:after="0" w:afterAutospacing="0"/>
        <w:ind w:left="975" w:right="1500"/>
        <w:rPr>
          <w:rFonts w:ascii="Tahoma" w:hAnsi="Tahoma" w:cs="Tahoma"/>
          <w:b w:val="0"/>
          <w:bCs w:val="0"/>
          <w:color w:val="007DB8"/>
        </w:rPr>
      </w:pPr>
      <w:r>
        <w:rPr>
          <w:rStyle w:val="sectionlabel"/>
          <w:rFonts w:ascii="Tahoma" w:hAnsi="Tahoma" w:cs="Tahoma"/>
          <w:color w:val="7A7A7A"/>
          <w:sz w:val="36"/>
          <w:szCs w:val="36"/>
        </w:rPr>
        <w:t>13-5</w:t>
      </w:r>
      <w:r>
        <w:rPr>
          <w:rStyle w:val="headingtext"/>
          <w:rFonts w:ascii="Tahoma" w:hAnsi="Tahoma" w:cs="Tahoma"/>
          <w:b w:val="0"/>
          <w:bCs w:val="0"/>
          <w:color w:val="007DB8"/>
        </w:rPr>
        <w:t>Postscript: Donders Returns</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At the beginning of this book, we described an experiment carried out over 150 years ago by the Dutch physiologist </w:t>
      </w:r>
      <w:proofErr w:type="spellStart"/>
      <w:r>
        <w:rPr>
          <w:rFonts w:ascii="Cambria" w:hAnsi="Cambria"/>
          <w:color w:val="575757"/>
          <w:sz w:val="27"/>
          <w:szCs w:val="27"/>
        </w:rPr>
        <w:t>Franciscus</w:t>
      </w:r>
      <w:proofErr w:type="spellEnd"/>
      <w:r>
        <w:rPr>
          <w:rFonts w:ascii="Cambria" w:hAnsi="Cambria"/>
          <w:color w:val="575757"/>
          <w:sz w:val="27"/>
          <w:szCs w:val="27"/>
        </w:rPr>
        <w:t xml:space="preserve"> Donders. When Donders did his experiment in 1868 it was generally thought that the mind couldn’t be studied, because the properties of the mind couldn’t be measured. But Donders defied popular wisdom by determining (1) how long it took for a person to push a button when a single light was flashed and (2) how long it took to push one button if a light flashed on the left and another button if a light flashed on the right.</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Based on these simple measurements, Donders concluded that it took one-tenth of a second to decide whether a light was presented on the right or on the left. We described this experiment to illustrate the basic principle that the workings of the mind must be inferred from behavioral observations, and then, in the chapters that followed, we described experiments far more complex than Donders’ reaction time experiment, and techniques that Donders could never have dreamed of.</w:t>
      </w:r>
    </w:p>
    <w:p w:rsidR="00670C65" w:rsidRDefault="00670C65" w:rsidP="00670C65">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But now that you’ve made it to the end of the book, let’s allow ourselves to imagine something magical—Donders is given a chance to visit a 21st-century cognitive psychology laboratory. When Donders walks into the lab, he is amazed by the technology, especially the computers and the brain scanner. But </w:t>
      </w:r>
      <w:r>
        <w:rPr>
          <w:rFonts w:ascii="Cambria" w:hAnsi="Cambria"/>
          <w:color w:val="575757"/>
          <w:sz w:val="27"/>
          <w:szCs w:val="27"/>
        </w:rPr>
        <w:lastRenderedPageBreak/>
        <w:t>after noting these new developments, he turns to the lab director and says, “Amazing technology, but what I really want to know is have you figured out a way to measure the operation of the mind directly?” The lab director answers, “Well, no. We measure behavior and physiology and infer what is happening in the mind.” “Oh,” says Donders, “so the technology has changed, but besides that, nothing’s different. Studying the mind still involves measuring indirectly, hypothesizing, and inferring.” “That’s right,” says the lab director, “but let me tell you what we’ve found out since 1868….”</w:t>
      </w:r>
    </w:p>
    <w:p w:rsidR="00E54F30" w:rsidRDefault="00E54F30" w:rsidP="00E54F30">
      <w:pPr>
        <w:pStyle w:val="Heading2"/>
        <w:spacing w:before="0"/>
        <w:rPr>
          <w:rFonts w:ascii="Tahoma" w:hAnsi="Tahoma" w:cs="Tahoma"/>
          <w:color w:val="122D40"/>
          <w:sz w:val="48"/>
          <w:szCs w:val="48"/>
        </w:rPr>
      </w:pPr>
      <w:r>
        <w:rPr>
          <w:rStyle w:val="sectionlabel"/>
          <w:rFonts w:ascii="Tahoma" w:hAnsi="Tahoma" w:cs="Tahoma"/>
          <w:color w:val="7A7A7A"/>
        </w:rPr>
        <w:t>13-6a</w:t>
      </w:r>
      <w:r>
        <w:rPr>
          <w:rStyle w:val="headingtext"/>
          <w:rFonts w:ascii="Tahoma" w:hAnsi="Tahoma" w:cs="Tahoma"/>
          <w:b/>
          <w:bCs/>
          <w:color w:val="122D40"/>
          <w:sz w:val="48"/>
          <w:szCs w:val="48"/>
        </w:rPr>
        <w:t>Chapter Summary</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In inductive reasoning, conclusions follow not from logically constructed syllogisms but from evidence. Conclusions are </w:t>
      </w:r>
      <w:r>
        <w:rPr>
          <w:rStyle w:val="Emphasis"/>
          <w:rFonts w:ascii="Cambria" w:hAnsi="Cambria"/>
          <w:color w:val="575757"/>
          <w:sz w:val="27"/>
          <w:szCs w:val="27"/>
        </w:rPr>
        <w:t>suggested</w:t>
      </w:r>
      <w:r>
        <w:rPr>
          <w:rFonts w:ascii="Cambria" w:hAnsi="Cambria"/>
          <w:color w:val="575757"/>
          <w:sz w:val="27"/>
          <w:szCs w:val="27"/>
        </w:rPr>
        <w:t> with varying degrees of certainty. The strength of an inductive argument depends on the representativeness, number, and quality of observations on which the argument is based.</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Inductive reasoning plays a major role in everyday life because we often make predictions about what we think will happen based on our observations about what has happened in the past.</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availability heuristic states that events that are more easily remembered are judged as being more probable than events that are less easily remembered. This heuristic can sometimes lead to correct judgments, and sometimes not. Errors due to the availability heuristic have been demonstrated by having people estimate the relative prevalence of various causes of death.</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Illusory correlations and stereotypes, which can lead to incorrect conclusions about relationships among things, are related to the availability heuristic, because they draw attention to specific relationships and therefore make them more “available.”</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The representativeness heuristic is based on the idea that people often make judgments based on how much one event resembles other events. Errors due to this heuristic have been demonstrated by asking participants to judge a person’s occupation based on descriptive information. Errors occur when the representativeness heuristic leads people to ignore base rate information. In other situations, judgment errors </w:t>
      </w:r>
      <w:r>
        <w:rPr>
          <w:rFonts w:ascii="Cambria" w:hAnsi="Cambria"/>
          <w:color w:val="575757"/>
          <w:sz w:val="27"/>
          <w:szCs w:val="27"/>
        </w:rPr>
        <w:lastRenderedPageBreak/>
        <w:t>occur when people ignore the conjunction rule and the law of large numbers.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myside bias is the tendency for people to generate and evaluate evidence and test their hypotheses in a way that is biased toward their own opinions and attitudes.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The confirmation bias is the tendency to selectively look for information that conforms to a hypothesis and to overlook information that argues against it. Operation of this bias was demonstrated by </w:t>
      </w:r>
      <w:proofErr w:type="spellStart"/>
      <w:r>
        <w:rPr>
          <w:rFonts w:ascii="Cambria" w:hAnsi="Cambria"/>
          <w:color w:val="575757"/>
          <w:sz w:val="27"/>
          <w:szCs w:val="27"/>
        </w:rPr>
        <w:t>Wason’s</w:t>
      </w:r>
      <w:proofErr w:type="spellEnd"/>
      <w:r>
        <w:rPr>
          <w:rFonts w:ascii="Cambria" w:hAnsi="Cambria"/>
          <w:color w:val="575757"/>
          <w:sz w:val="27"/>
          <w:szCs w:val="27"/>
        </w:rPr>
        <w:t xml:space="preserve"> number sequence task.</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Reasoning is a cognitive process in which people start with information and come to conclusions that go beyond that information. Deductive reasoning involves syllogisms and can result in definite conclusions.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Categorical syllogisms have two premises and a conclusion that describe the relation between two categories by using statements that begin with </w:t>
      </w:r>
      <w:r>
        <w:rPr>
          <w:rStyle w:val="Emphasis"/>
          <w:rFonts w:ascii="Cambria" w:hAnsi="Cambria"/>
          <w:color w:val="575757"/>
          <w:sz w:val="27"/>
          <w:szCs w:val="27"/>
        </w:rPr>
        <w:t>All, No</w:t>
      </w:r>
      <w:r>
        <w:rPr>
          <w:rFonts w:ascii="Cambria" w:hAnsi="Cambria"/>
          <w:color w:val="575757"/>
          <w:sz w:val="27"/>
          <w:szCs w:val="27"/>
        </w:rPr>
        <w:t>, or </w:t>
      </w:r>
      <w:r>
        <w:rPr>
          <w:rStyle w:val="Emphasis"/>
          <w:rFonts w:ascii="Cambria" w:hAnsi="Cambria"/>
          <w:color w:val="575757"/>
          <w:sz w:val="27"/>
          <w:szCs w:val="27"/>
        </w:rPr>
        <w:t>Some</w:t>
      </w:r>
      <w:r>
        <w:rPr>
          <w:rFonts w:ascii="Cambria" w:hAnsi="Cambria"/>
          <w:color w:val="575757"/>
          <w:sz w:val="27"/>
          <w:szCs w:val="27"/>
        </w:rPr>
        <w:t>.</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A syllogism is valid if its conclusion follows logically from its premises. The validity of a syllogism is determined by its form. This is different from </w:t>
      </w:r>
      <w:r>
        <w:rPr>
          <w:rStyle w:val="Emphasis"/>
          <w:rFonts w:ascii="Cambria" w:hAnsi="Cambria"/>
          <w:color w:val="575757"/>
          <w:sz w:val="27"/>
          <w:szCs w:val="27"/>
        </w:rPr>
        <w:t>truth</w:t>
      </w:r>
      <w:r>
        <w:rPr>
          <w:rFonts w:ascii="Cambria" w:hAnsi="Cambria"/>
          <w:color w:val="575757"/>
          <w:sz w:val="27"/>
          <w:szCs w:val="27"/>
        </w:rPr>
        <w:t>, which is determined by the content of the statements in the syllogism and has to do with how statements correspond to known facts.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Conditional syllogisms have two premises and a conclusion like categorical syllogisms, but the first premise has the form “If … then.” People do well at judging the validity of the </w:t>
      </w:r>
      <w:r>
        <w:rPr>
          <w:rStyle w:val="Emphasis"/>
          <w:rFonts w:ascii="Cambria" w:hAnsi="Cambria"/>
          <w:color w:val="575757"/>
          <w:sz w:val="27"/>
          <w:szCs w:val="27"/>
        </w:rPr>
        <w:t>modus ponens</w:t>
      </w:r>
      <w:r>
        <w:rPr>
          <w:rFonts w:ascii="Cambria" w:hAnsi="Cambria"/>
          <w:color w:val="575757"/>
          <w:sz w:val="27"/>
          <w:szCs w:val="27"/>
        </w:rPr>
        <w:t> syllogism but less well at judging the validity of other forms of conditional syllogisms. Changing the wording of syllogisms while keeping the form the same can help people determine validity.</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The </w:t>
      </w:r>
      <w:proofErr w:type="spellStart"/>
      <w:r>
        <w:rPr>
          <w:rFonts w:ascii="Cambria" w:hAnsi="Cambria"/>
          <w:color w:val="575757"/>
          <w:sz w:val="27"/>
          <w:szCs w:val="27"/>
        </w:rPr>
        <w:t>Wason</w:t>
      </w:r>
      <w:proofErr w:type="spellEnd"/>
      <w:r>
        <w:rPr>
          <w:rFonts w:ascii="Cambria" w:hAnsi="Cambria"/>
          <w:color w:val="575757"/>
          <w:sz w:val="27"/>
          <w:szCs w:val="27"/>
        </w:rPr>
        <w:t xml:space="preserve"> four-card problem has been used to study how people think when evaluating conditional syllogisms. People make errors in the abstract version because they do not apply the falsification principle.</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bookmarkStart w:id="30" w:name="PageEnd_425"/>
      <w:bookmarkEnd w:id="30"/>
      <w:r>
        <w:rPr>
          <w:rFonts w:ascii="Cambria" w:hAnsi="Cambria"/>
          <w:color w:val="575757"/>
          <w:sz w:val="27"/>
          <w:szCs w:val="27"/>
        </w:rPr>
        <w:t xml:space="preserve">Experiments using real-world versions of the </w:t>
      </w:r>
      <w:proofErr w:type="spellStart"/>
      <w:r>
        <w:rPr>
          <w:rFonts w:ascii="Cambria" w:hAnsi="Cambria"/>
          <w:color w:val="575757"/>
          <w:sz w:val="27"/>
          <w:szCs w:val="27"/>
        </w:rPr>
        <w:t>Wason</w:t>
      </w:r>
      <w:proofErr w:type="spellEnd"/>
      <w:r>
        <w:rPr>
          <w:rFonts w:ascii="Cambria" w:hAnsi="Cambria"/>
          <w:color w:val="575757"/>
          <w:sz w:val="27"/>
          <w:szCs w:val="27"/>
        </w:rPr>
        <w:t xml:space="preserve"> problem, such as the beer/drinking-age version, have demonstrated that the way in which a problem is stated can influence people’s performance.</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The utility approach to decision making is based on the idea that people are basically rational, so when they have all of the relevant information, they will make decisions that result in outcomes that are in their best interest. Evidence that people do </w:t>
      </w:r>
      <w:r>
        <w:rPr>
          <w:rFonts w:ascii="Cambria" w:hAnsi="Cambria"/>
          <w:color w:val="575757"/>
          <w:sz w:val="27"/>
          <w:szCs w:val="27"/>
        </w:rPr>
        <w:lastRenderedPageBreak/>
        <w:t>not always act in accordance with this approach includes gambling behavior, choosing to drive in the face of evidence that it is more dangerous than flying, and the behavior of contestants on game shows like </w:t>
      </w:r>
      <w:r>
        <w:rPr>
          <w:rStyle w:val="Emphasis"/>
          <w:rFonts w:ascii="Cambria" w:hAnsi="Cambria"/>
          <w:color w:val="575757"/>
          <w:sz w:val="27"/>
          <w:szCs w:val="27"/>
        </w:rPr>
        <w:t>Deal or No Deal</w:t>
      </w:r>
      <w:r>
        <w:rPr>
          <w:rFonts w:ascii="Cambria" w:hAnsi="Cambria"/>
          <w:color w:val="575757"/>
          <w:sz w:val="27"/>
          <w:szCs w:val="27"/>
        </w:rPr>
        <w:t>.</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Emotions can affect decisions. Expected emotions are emotions a person predicts will happen in response to the outcome of a decision. There is evidence that people are not always accurate in predicting their emotions. This can lead to risk aversion. An experiment by </w:t>
      </w:r>
      <w:proofErr w:type="spellStart"/>
      <w:r>
        <w:rPr>
          <w:rFonts w:ascii="Cambria" w:hAnsi="Cambria"/>
          <w:color w:val="575757"/>
          <w:sz w:val="27"/>
          <w:szCs w:val="27"/>
        </w:rPr>
        <w:t>Kermer</w:t>
      </w:r>
      <w:proofErr w:type="spellEnd"/>
      <w:r>
        <w:rPr>
          <w:rFonts w:ascii="Cambria" w:hAnsi="Cambria"/>
          <w:color w:val="575757"/>
          <w:sz w:val="27"/>
          <w:szCs w:val="27"/>
        </w:rPr>
        <w:t xml:space="preserve"> demonstrates the difference between predicted emotions and the emotions actually experienced after making a decision.</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There is a large amount of evidence that incidental emotions can affect decisions. For instance, gloomy weather can influence college admissions.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Decisions can depend on the context in which they are made. The number of available choices, the types of decision making that preceded this decision, and hunger or fatigue can all affect decisions.</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 xml:space="preserve">Decisions can depend on how choices are </w:t>
      </w:r>
      <w:proofErr w:type="gramStart"/>
      <w:r>
        <w:rPr>
          <w:rFonts w:ascii="Cambria" w:hAnsi="Cambria"/>
          <w:color w:val="575757"/>
          <w:sz w:val="27"/>
          <w:szCs w:val="27"/>
        </w:rPr>
        <w:t>presented, or</w:t>
      </w:r>
      <w:proofErr w:type="gramEnd"/>
      <w:r>
        <w:rPr>
          <w:rFonts w:ascii="Cambria" w:hAnsi="Cambria"/>
          <w:color w:val="575757"/>
          <w:sz w:val="27"/>
          <w:szCs w:val="27"/>
        </w:rPr>
        <w:t> </w:t>
      </w:r>
      <w:r>
        <w:rPr>
          <w:rStyle w:val="Emphasis"/>
          <w:rFonts w:ascii="Cambria" w:hAnsi="Cambria"/>
          <w:color w:val="575757"/>
          <w:sz w:val="27"/>
          <w:szCs w:val="27"/>
        </w:rPr>
        <w:t>framed</w:t>
      </w:r>
      <w:r>
        <w:rPr>
          <w:rFonts w:ascii="Cambria" w:hAnsi="Cambria"/>
          <w:color w:val="575757"/>
          <w:sz w:val="27"/>
          <w:szCs w:val="27"/>
        </w:rPr>
        <w:t xml:space="preserve">. Evidence includes the differences in behavior with opt-in versus opt-out procedures, the results of </w:t>
      </w:r>
      <w:proofErr w:type="spellStart"/>
      <w:r>
        <w:rPr>
          <w:rFonts w:ascii="Cambria" w:hAnsi="Cambria"/>
          <w:color w:val="575757"/>
          <w:sz w:val="27"/>
          <w:szCs w:val="27"/>
        </w:rPr>
        <w:t>Slovic’s</w:t>
      </w:r>
      <w:proofErr w:type="spellEnd"/>
      <w:r>
        <w:rPr>
          <w:rFonts w:ascii="Cambria" w:hAnsi="Cambria"/>
          <w:color w:val="575757"/>
          <w:sz w:val="27"/>
          <w:szCs w:val="27"/>
        </w:rPr>
        <w:t xml:space="preserve"> experiment involving decisions about a mental patient, and people’s response to the Tversky and Kahneman lethal disease problem. When a choice is framed in terms of gains, people tend to use a risk aversion strategy, but when the choice is framed in terms of losses, people tend to use a risk-taking strategy.</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Neuroeconomics studies decision making by combining approaches from psychology, neuroscience, and economics. The results of a neuroeconomics experiment using the ultimatum game have shown that people’s emotions can interfere with their ability to make rational decisions. Brain imaging indicates that the anterior insula is associated with the emotions that occur during the ultimatum game, whereas the PFC may be involved in the cognitive demands of the task. A transcranial magnetic stimulation experiment further demonstrates the causal role of the PFC in decision making.</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The PFC and insula are also involved in purchasing decisions. Activation in the PFC predicts decisions to purchase a product, while activation in the insula predicts decisions not to purchase.</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lastRenderedPageBreak/>
        <w:t xml:space="preserve">The dual systems approach to thinking proposes that there are two mental systems. System 1 (or Type 1 processing) is intuitive, fast, nonconscious, and automatic. </w:t>
      </w:r>
      <w:bookmarkStart w:id="31" w:name="_GoBack"/>
      <w:r>
        <w:rPr>
          <w:rFonts w:ascii="Cambria" w:hAnsi="Cambria"/>
          <w:color w:val="575757"/>
          <w:sz w:val="27"/>
          <w:szCs w:val="27"/>
        </w:rPr>
        <w:t>System 2</w:t>
      </w:r>
      <w:bookmarkEnd w:id="31"/>
      <w:r>
        <w:rPr>
          <w:rFonts w:ascii="Cambria" w:hAnsi="Cambria"/>
          <w:color w:val="575757"/>
          <w:sz w:val="27"/>
          <w:szCs w:val="27"/>
        </w:rPr>
        <w:t xml:space="preserve"> (or Type 2 processing) is reflective, slow, conscious, and controlled. Many of the errors of reasoning discussed in this chapter can be linked to System 1, although this system also provides many valuable functions that do not involve error. System 2 takes over when slower, more thoughtful thinking is necessary.</w:t>
      </w:r>
    </w:p>
    <w:p w:rsidR="00E54F30" w:rsidRDefault="00E54F30" w:rsidP="00E54F30">
      <w:pPr>
        <w:pStyle w:val="NormalWeb"/>
        <w:numPr>
          <w:ilvl w:val="0"/>
          <w:numId w:val="10"/>
        </w:numPr>
        <w:spacing w:before="0" w:beforeAutospacing="0" w:after="0" w:afterAutospacing="0"/>
        <w:ind w:left="975" w:right="975"/>
        <w:rPr>
          <w:rFonts w:ascii="Cambria" w:hAnsi="Cambria"/>
          <w:color w:val="575757"/>
          <w:sz w:val="27"/>
          <w:szCs w:val="27"/>
        </w:rPr>
      </w:pPr>
      <w:r>
        <w:rPr>
          <w:rFonts w:ascii="Cambria" w:hAnsi="Cambria"/>
          <w:color w:val="575757"/>
          <w:sz w:val="27"/>
          <w:szCs w:val="27"/>
        </w:rPr>
        <w:t>If Donders returned today, he would be amazed at the technology but perhaps not surprised that cognitive psychologists still study the mind indirectly, just as he did.</w:t>
      </w:r>
    </w:p>
    <w:p w:rsidR="00670C65" w:rsidRDefault="00670C65"/>
    <w:sectPr w:rsidR="00670C65" w:rsidSect="00C3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F5483"/>
    <w:multiLevelType w:val="multilevel"/>
    <w:tmpl w:val="C368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2C04C6"/>
    <w:multiLevelType w:val="multilevel"/>
    <w:tmpl w:val="BCD0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D6AEB"/>
    <w:multiLevelType w:val="multilevel"/>
    <w:tmpl w:val="1A22C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250937"/>
    <w:multiLevelType w:val="multilevel"/>
    <w:tmpl w:val="78D8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5382F"/>
    <w:multiLevelType w:val="multilevel"/>
    <w:tmpl w:val="325E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B33800"/>
    <w:multiLevelType w:val="multilevel"/>
    <w:tmpl w:val="3C1E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C97825"/>
    <w:multiLevelType w:val="multilevel"/>
    <w:tmpl w:val="CE9A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670DC6"/>
    <w:multiLevelType w:val="multilevel"/>
    <w:tmpl w:val="1F4A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5D78C8"/>
    <w:multiLevelType w:val="multilevel"/>
    <w:tmpl w:val="C26E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455BF2"/>
    <w:multiLevelType w:val="multilevel"/>
    <w:tmpl w:val="22EC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0"/>
  </w:num>
  <w:num w:numId="4">
    <w:abstractNumId w:val="5"/>
  </w:num>
  <w:num w:numId="5">
    <w:abstractNumId w:val="7"/>
  </w:num>
  <w:num w:numId="6">
    <w:abstractNumId w:val="1"/>
  </w:num>
  <w:num w:numId="7">
    <w:abstractNumId w:val="9"/>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65"/>
    <w:rsid w:val="00670C65"/>
    <w:rsid w:val="006F4A06"/>
    <w:rsid w:val="00C342D4"/>
    <w:rsid w:val="00DD20B3"/>
    <w:rsid w:val="00E5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EA17"/>
  <w15:chartTrackingRefBased/>
  <w15:docId w15:val="{256BD721-B1D8-4A4A-9666-D08FF6F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70C6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70C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70C6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C65"/>
    <w:rPr>
      <w:rFonts w:ascii="Times New Roman" w:eastAsia="Times New Roman" w:hAnsi="Times New Roman" w:cs="Times New Roman"/>
      <w:b/>
      <w:bCs/>
      <w:kern w:val="36"/>
      <w:sz w:val="48"/>
      <w:szCs w:val="48"/>
    </w:rPr>
  </w:style>
  <w:style w:type="character" w:customStyle="1" w:styleId="sectionlabel">
    <w:name w:val="sectionlabel"/>
    <w:basedOn w:val="DefaultParagraphFont"/>
    <w:rsid w:val="00670C65"/>
  </w:style>
  <w:style w:type="character" w:customStyle="1" w:styleId="headingtext">
    <w:name w:val="headingtext"/>
    <w:basedOn w:val="DefaultParagraphFont"/>
    <w:rsid w:val="00670C65"/>
  </w:style>
  <w:style w:type="paragraph" w:styleId="NormalWeb">
    <w:name w:val="Normal (Web)"/>
    <w:basedOn w:val="Normal"/>
    <w:uiPriority w:val="99"/>
    <w:semiHidden/>
    <w:unhideWhenUsed/>
    <w:rsid w:val="00670C65"/>
    <w:pPr>
      <w:spacing w:before="100" w:beforeAutospacing="1" w:after="100" w:afterAutospacing="1"/>
    </w:pPr>
    <w:rPr>
      <w:rFonts w:ascii="Times New Roman" w:eastAsia="Times New Roman" w:hAnsi="Times New Roman" w:cs="Times New Roman"/>
    </w:rPr>
  </w:style>
  <w:style w:type="character" w:customStyle="1" w:styleId="primaryterm">
    <w:name w:val="primaryterm"/>
    <w:basedOn w:val="DefaultParagraphFont"/>
    <w:rsid w:val="00670C65"/>
  </w:style>
  <w:style w:type="character" w:styleId="Emphasis">
    <w:name w:val="Emphasis"/>
    <w:basedOn w:val="DefaultParagraphFont"/>
    <w:uiPriority w:val="20"/>
    <w:qFormat/>
    <w:rsid w:val="00670C65"/>
    <w:rPr>
      <w:i/>
      <w:iCs/>
    </w:rPr>
  </w:style>
  <w:style w:type="character" w:customStyle="1" w:styleId="Heading2Char">
    <w:name w:val="Heading 2 Char"/>
    <w:basedOn w:val="DefaultParagraphFont"/>
    <w:link w:val="Heading2"/>
    <w:uiPriority w:val="9"/>
    <w:semiHidden/>
    <w:rsid w:val="00670C6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70C65"/>
    <w:rPr>
      <w:rFonts w:asciiTheme="majorHAnsi" w:eastAsiaTheme="majorEastAsia" w:hAnsiTheme="majorHAnsi" w:cstheme="majorBidi"/>
      <w:color w:val="1F3763" w:themeColor="accent1" w:themeShade="7F"/>
    </w:rPr>
  </w:style>
  <w:style w:type="character" w:customStyle="1" w:styleId="label">
    <w:name w:val="label"/>
    <w:basedOn w:val="DefaultParagraphFont"/>
    <w:rsid w:val="00670C65"/>
  </w:style>
  <w:style w:type="character" w:styleId="Hyperlink">
    <w:name w:val="Hyperlink"/>
    <w:basedOn w:val="DefaultParagraphFont"/>
    <w:uiPriority w:val="99"/>
    <w:semiHidden/>
    <w:unhideWhenUsed/>
    <w:rsid w:val="00670C65"/>
    <w:rPr>
      <w:color w:val="0000FF"/>
      <w:u w:val="single"/>
    </w:rPr>
  </w:style>
  <w:style w:type="character" w:customStyle="1" w:styleId="citation">
    <w:name w:val="citation"/>
    <w:basedOn w:val="DefaultParagraphFont"/>
    <w:rsid w:val="00670C65"/>
  </w:style>
  <w:style w:type="character" w:customStyle="1" w:styleId="ordinal">
    <w:name w:val="ordinal"/>
    <w:basedOn w:val="DefaultParagraphFont"/>
    <w:rsid w:val="00670C65"/>
  </w:style>
  <w:style w:type="character" w:customStyle="1" w:styleId="mediacredit">
    <w:name w:val="mediacredit"/>
    <w:basedOn w:val="DefaultParagraphFont"/>
    <w:rsid w:val="00670C65"/>
  </w:style>
  <w:style w:type="character" w:customStyle="1" w:styleId="reference">
    <w:name w:val="reference"/>
    <w:basedOn w:val="DefaultParagraphFont"/>
    <w:rsid w:val="00670C65"/>
  </w:style>
  <w:style w:type="character" w:customStyle="1" w:styleId="medialabeltext">
    <w:name w:val="medialabeltext"/>
    <w:basedOn w:val="DefaultParagraphFont"/>
    <w:rsid w:val="00670C65"/>
  </w:style>
  <w:style w:type="character" w:customStyle="1" w:styleId="mediafigurenumber">
    <w:name w:val="mediafigurenumber"/>
    <w:basedOn w:val="DefaultParagraphFont"/>
    <w:rsid w:val="00670C65"/>
  </w:style>
  <w:style w:type="character" w:customStyle="1" w:styleId="mediaassettitle">
    <w:name w:val="mediaassettitle"/>
    <w:basedOn w:val="DefaultParagraphFont"/>
    <w:rsid w:val="00670C65"/>
  </w:style>
  <w:style w:type="character" w:customStyle="1" w:styleId="manuallabel">
    <w:name w:val="manuallabel"/>
    <w:basedOn w:val="DefaultParagraphFont"/>
    <w:rsid w:val="00670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53961">
      <w:bodyDiv w:val="1"/>
      <w:marLeft w:val="0"/>
      <w:marRight w:val="0"/>
      <w:marTop w:val="0"/>
      <w:marBottom w:val="0"/>
      <w:divBdr>
        <w:top w:val="none" w:sz="0" w:space="0" w:color="auto"/>
        <w:left w:val="none" w:sz="0" w:space="0" w:color="auto"/>
        <w:bottom w:val="none" w:sz="0" w:space="0" w:color="auto"/>
        <w:right w:val="none" w:sz="0" w:space="0" w:color="auto"/>
      </w:divBdr>
      <w:divsChild>
        <w:div w:id="1877044313">
          <w:marLeft w:val="0"/>
          <w:marRight w:val="0"/>
          <w:marTop w:val="0"/>
          <w:marBottom w:val="180"/>
          <w:divBdr>
            <w:top w:val="none" w:sz="0" w:space="0" w:color="auto"/>
            <w:left w:val="none" w:sz="0" w:space="0" w:color="auto"/>
            <w:bottom w:val="none" w:sz="0" w:space="0" w:color="auto"/>
            <w:right w:val="none" w:sz="0" w:space="0" w:color="auto"/>
          </w:divBdr>
        </w:div>
        <w:div w:id="1012802175">
          <w:marLeft w:val="0"/>
          <w:marRight w:val="0"/>
          <w:marTop w:val="0"/>
          <w:marBottom w:val="1800"/>
          <w:divBdr>
            <w:top w:val="none" w:sz="0" w:space="0" w:color="auto"/>
            <w:left w:val="none" w:sz="0" w:space="0" w:color="auto"/>
            <w:bottom w:val="none" w:sz="0" w:space="0" w:color="auto"/>
            <w:right w:val="none" w:sz="0" w:space="0" w:color="auto"/>
          </w:divBdr>
          <w:divsChild>
            <w:div w:id="1730691105">
              <w:marLeft w:val="375"/>
              <w:marRight w:val="375"/>
              <w:marTop w:val="0"/>
              <w:marBottom w:val="225"/>
              <w:divBdr>
                <w:top w:val="none" w:sz="0" w:space="0" w:color="auto"/>
                <w:left w:val="none" w:sz="0" w:space="0" w:color="auto"/>
                <w:bottom w:val="none" w:sz="0" w:space="0" w:color="auto"/>
                <w:right w:val="none" w:sz="0" w:space="0" w:color="auto"/>
              </w:divBdr>
              <w:divsChild>
                <w:div w:id="461272592">
                  <w:marLeft w:val="0"/>
                  <w:marRight w:val="0"/>
                  <w:marTop w:val="0"/>
                  <w:marBottom w:val="0"/>
                  <w:divBdr>
                    <w:top w:val="none" w:sz="0" w:space="0" w:color="auto"/>
                    <w:left w:val="none" w:sz="0" w:space="0" w:color="auto"/>
                    <w:bottom w:val="none" w:sz="0" w:space="0" w:color="auto"/>
                    <w:right w:val="none" w:sz="0" w:space="0" w:color="auto"/>
                  </w:divBdr>
                  <w:divsChild>
                    <w:div w:id="601962277">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107314235">
                          <w:marLeft w:val="-375"/>
                          <w:marRight w:val="0"/>
                          <w:marTop w:val="0"/>
                          <w:marBottom w:val="150"/>
                          <w:divBdr>
                            <w:top w:val="none" w:sz="0" w:space="0" w:color="auto"/>
                            <w:left w:val="none" w:sz="0" w:space="0" w:color="auto"/>
                            <w:bottom w:val="none" w:sz="0" w:space="0" w:color="auto"/>
                            <w:right w:val="none" w:sz="0" w:space="0" w:color="auto"/>
                          </w:divBdr>
                        </w:div>
                        <w:div w:id="1842156088">
                          <w:marLeft w:val="0"/>
                          <w:marRight w:val="0"/>
                          <w:marTop w:val="75"/>
                          <w:marBottom w:val="225"/>
                          <w:divBdr>
                            <w:top w:val="none" w:sz="0" w:space="0" w:color="auto"/>
                            <w:left w:val="none" w:sz="0" w:space="0" w:color="auto"/>
                            <w:bottom w:val="none" w:sz="0" w:space="0" w:color="auto"/>
                            <w:right w:val="none" w:sz="0" w:space="0" w:color="auto"/>
                          </w:divBdr>
                        </w:div>
                        <w:div w:id="76446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46865487">
              <w:marLeft w:val="375"/>
              <w:marRight w:val="375"/>
              <w:marTop w:val="0"/>
              <w:marBottom w:val="225"/>
              <w:divBdr>
                <w:top w:val="none" w:sz="0" w:space="0" w:color="auto"/>
                <w:left w:val="none" w:sz="0" w:space="0" w:color="auto"/>
                <w:bottom w:val="none" w:sz="0" w:space="0" w:color="auto"/>
                <w:right w:val="none" w:sz="0" w:space="0" w:color="auto"/>
              </w:divBdr>
              <w:divsChild>
                <w:div w:id="1014530">
                  <w:marLeft w:val="0"/>
                  <w:marRight w:val="0"/>
                  <w:marTop w:val="0"/>
                  <w:marBottom w:val="0"/>
                  <w:divBdr>
                    <w:top w:val="none" w:sz="0" w:space="0" w:color="auto"/>
                    <w:left w:val="none" w:sz="0" w:space="0" w:color="auto"/>
                    <w:bottom w:val="none" w:sz="0" w:space="0" w:color="auto"/>
                    <w:right w:val="none" w:sz="0" w:space="0" w:color="auto"/>
                  </w:divBdr>
                  <w:divsChild>
                    <w:div w:id="2054962824">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145316254">
                          <w:marLeft w:val="-375"/>
                          <w:marRight w:val="0"/>
                          <w:marTop w:val="0"/>
                          <w:marBottom w:val="150"/>
                          <w:divBdr>
                            <w:top w:val="none" w:sz="0" w:space="0" w:color="auto"/>
                            <w:left w:val="none" w:sz="0" w:space="0" w:color="auto"/>
                            <w:bottom w:val="none" w:sz="0" w:space="0" w:color="auto"/>
                            <w:right w:val="none" w:sz="0" w:space="0" w:color="auto"/>
                          </w:divBdr>
                        </w:div>
                        <w:div w:id="125781671">
                          <w:marLeft w:val="0"/>
                          <w:marRight w:val="0"/>
                          <w:marTop w:val="75"/>
                          <w:marBottom w:val="225"/>
                          <w:divBdr>
                            <w:top w:val="none" w:sz="0" w:space="0" w:color="auto"/>
                            <w:left w:val="none" w:sz="0" w:space="0" w:color="auto"/>
                            <w:bottom w:val="none" w:sz="0" w:space="0" w:color="auto"/>
                            <w:right w:val="none" w:sz="0" w:space="0" w:color="auto"/>
                          </w:divBdr>
                        </w:div>
                        <w:div w:id="4804639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04588948">
              <w:marLeft w:val="375"/>
              <w:marRight w:val="375"/>
              <w:marTop w:val="0"/>
              <w:marBottom w:val="225"/>
              <w:divBdr>
                <w:top w:val="none" w:sz="0" w:space="0" w:color="auto"/>
                <w:left w:val="none" w:sz="0" w:space="0" w:color="auto"/>
                <w:bottom w:val="none" w:sz="0" w:space="0" w:color="auto"/>
                <w:right w:val="none" w:sz="0" w:space="0" w:color="auto"/>
              </w:divBdr>
              <w:divsChild>
                <w:div w:id="409354984">
                  <w:marLeft w:val="0"/>
                  <w:marRight w:val="0"/>
                  <w:marTop w:val="0"/>
                  <w:marBottom w:val="0"/>
                  <w:divBdr>
                    <w:top w:val="none" w:sz="0" w:space="0" w:color="auto"/>
                    <w:left w:val="none" w:sz="0" w:space="0" w:color="auto"/>
                    <w:bottom w:val="none" w:sz="0" w:space="0" w:color="auto"/>
                    <w:right w:val="none" w:sz="0" w:space="0" w:color="auto"/>
                  </w:divBdr>
                  <w:divsChild>
                    <w:div w:id="175573933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445858324">
                          <w:marLeft w:val="-375"/>
                          <w:marRight w:val="0"/>
                          <w:marTop w:val="0"/>
                          <w:marBottom w:val="150"/>
                          <w:divBdr>
                            <w:top w:val="none" w:sz="0" w:space="0" w:color="auto"/>
                            <w:left w:val="none" w:sz="0" w:space="0" w:color="auto"/>
                            <w:bottom w:val="none" w:sz="0" w:space="0" w:color="auto"/>
                            <w:right w:val="none" w:sz="0" w:space="0" w:color="auto"/>
                          </w:divBdr>
                        </w:div>
                        <w:div w:id="3620218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372584953">
      <w:bodyDiv w:val="1"/>
      <w:marLeft w:val="0"/>
      <w:marRight w:val="0"/>
      <w:marTop w:val="0"/>
      <w:marBottom w:val="0"/>
      <w:divBdr>
        <w:top w:val="none" w:sz="0" w:space="0" w:color="auto"/>
        <w:left w:val="none" w:sz="0" w:space="0" w:color="auto"/>
        <w:bottom w:val="none" w:sz="0" w:space="0" w:color="auto"/>
        <w:right w:val="none" w:sz="0" w:space="0" w:color="auto"/>
      </w:divBdr>
      <w:divsChild>
        <w:div w:id="913509975">
          <w:marLeft w:val="0"/>
          <w:marRight w:val="0"/>
          <w:marTop w:val="0"/>
          <w:marBottom w:val="180"/>
          <w:divBdr>
            <w:top w:val="none" w:sz="0" w:space="0" w:color="auto"/>
            <w:left w:val="none" w:sz="0" w:space="0" w:color="auto"/>
            <w:bottom w:val="none" w:sz="0" w:space="0" w:color="auto"/>
            <w:right w:val="none" w:sz="0" w:space="0" w:color="auto"/>
          </w:divBdr>
        </w:div>
        <w:div w:id="93869476">
          <w:marLeft w:val="0"/>
          <w:marRight w:val="0"/>
          <w:marTop w:val="0"/>
          <w:marBottom w:val="1800"/>
          <w:divBdr>
            <w:top w:val="none" w:sz="0" w:space="0" w:color="auto"/>
            <w:left w:val="none" w:sz="0" w:space="0" w:color="auto"/>
            <w:bottom w:val="none" w:sz="0" w:space="0" w:color="auto"/>
            <w:right w:val="none" w:sz="0" w:space="0" w:color="auto"/>
          </w:divBdr>
          <w:divsChild>
            <w:div w:id="694431189">
              <w:marLeft w:val="375"/>
              <w:marRight w:val="375"/>
              <w:marTop w:val="0"/>
              <w:marBottom w:val="225"/>
              <w:divBdr>
                <w:top w:val="dashed" w:sz="6" w:space="11" w:color="CECECE"/>
                <w:left w:val="dashed" w:sz="6" w:space="19" w:color="CECECE"/>
                <w:bottom w:val="dashed" w:sz="6" w:space="11" w:color="CECECE"/>
                <w:right w:val="dashed" w:sz="6" w:space="11" w:color="CECECE"/>
              </w:divBdr>
            </w:div>
            <w:div w:id="111274244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464077641">
                  <w:marLeft w:val="-375"/>
                  <w:marRight w:val="0"/>
                  <w:marTop w:val="0"/>
                  <w:marBottom w:val="240"/>
                  <w:divBdr>
                    <w:top w:val="none" w:sz="0" w:space="0" w:color="auto"/>
                    <w:left w:val="none" w:sz="0" w:space="0" w:color="auto"/>
                    <w:bottom w:val="none" w:sz="0" w:space="0" w:color="auto"/>
                    <w:right w:val="none" w:sz="0" w:space="0" w:color="auto"/>
                  </w:divBdr>
                </w:div>
                <w:div w:id="1546522043">
                  <w:marLeft w:val="0"/>
                  <w:marRight w:val="0"/>
                  <w:marTop w:val="0"/>
                  <w:marBottom w:val="0"/>
                  <w:divBdr>
                    <w:top w:val="none" w:sz="0" w:space="0" w:color="auto"/>
                    <w:left w:val="none" w:sz="0" w:space="0" w:color="auto"/>
                    <w:bottom w:val="none" w:sz="0" w:space="0" w:color="auto"/>
                    <w:right w:val="none" w:sz="0" w:space="0" w:color="auto"/>
                  </w:divBdr>
                  <w:divsChild>
                    <w:div w:id="18580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7280">
              <w:marLeft w:val="375"/>
              <w:marRight w:val="375"/>
              <w:marTop w:val="0"/>
              <w:marBottom w:val="225"/>
              <w:divBdr>
                <w:top w:val="dashed" w:sz="6" w:space="11" w:color="CECECE"/>
                <w:left w:val="dashed" w:sz="6" w:space="19" w:color="CECECE"/>
                <w:bottom w:val="dashed" w:sz="6" w:space="11" w:color="CECECE"/>
                <w:right w:val="dashed" w:sz="6" w:space="11" w:color="CECECE"/>
              </w:divBdr>
            </w:div>
            <w:div w:id="223299882">
              <w:marLeft w:val="375"/>
              <w:marRight w:val="375"/>
              <w:marTop w:val="0"/>
              <w:marBottom w:val="225"/>
              <w:divBdr>
                <w:top w:val="dashed" w:sz="6" w:space="11" w:color="CECECE"/>
                <w:left w:val="dashed" w:sz="6" w:space="19" w:color="CECECE"/>
                <w:bottom w:val="dashed" w:sz="6" w:space="11" w:color="CECECE"/>
                <w:right w:val="dashed" w:sz="6" w:space="11" w:color="CECECE"/>
              </w:divBdr>
            </w:div>
            <w:div w:id="1932422766">
              <w:marLeft w:val="375"/>
              <w:marRight w:val="375"/>
              <w:marTop w:val="0"/>
              <w:marBottom w:val="225"/>
              <w:divBdr>
                <w:top w:val="dashed" w:sz="6" w:space="11" w:color="CECECE"/>
                <w:left w:val="dashed" w:sz="6" w:space="19" w:color="CECECE"/>
                <w:bottom w:val="dashed" w:sz="6" w:space="11" w:color="CECECE"/>
                <w:right w:val="dashed" w:sz="6" w:space="11" w:color="CECECE"/>
              </w:divBdr>
            </w:div>
            <w:div w:id="506361936">
              <w:marLeft w:val="375"/>
              <w:marRight w:val="375"/>
              <w:marTop w:val="0"/>
              <w:marBottom w:val="225"/>
              <w:divBdr>
                <w:top w:val="dashed" w:sz="6" w:space="11" w:color="CECECE"/>
                <w:left w:val="dashed" w:sz="6" w:space="19" w:color="CECECE"/>
                <w:bottom w:val="dashed" w:sz="6" w:space="11" w:color="CECECE"/>
                <w:right w:val="dashed" w:sz="6" w:space="11" w:color="CECECE"/>
              </w:divBdr>
            </w:div>
            <w:div w:id="825903976">
              <w:marLeft w:val="375"/>
              <w:marRight w:val="375"/>
              <w:marTop w:val="0"/>
              <w:marBottom w:val="225"/>
              <w:divBdr>
                <w:top w:val="dashed" w:sz="6" w:space="11" w:color="CECECE"/>
                <w:left w:val="dashed" w:sz="6" w:space="19" w:color="CECECE"/>
                <w:bottom w:val="dashed" w:sz="6" w:space="11" w:color="CECECE"/>
                <w:right w:val="dashed" w:sz="6" w:space="11" w:color="CECECE"/>
              </w:divBdr>
            </w:div>
          </w:divsChild>
        </w:div>
      </w:divsChild>
    </w:div>
    <w:div w:id="410585673">
      <w:bodyDiv w:val="1"/>
      <w:marLeft w:val="0"/>
      <w:marRight w:val="0"/>
      <w:marTop w:val="0"/>
      <w:marBottom w:val="0"/>
      <w:divBdr>
        <w:top w:val="none" w:sz="0" w:space="0" w:color="auto"/>
        <w:left w:val="none" w:sz="0" w:space="0" w:color="auto"/>
        <w:bottom w:val="none" w:sz="0" w:space="0" w:color="auto"/>
        <w:right w:val="none" w:sz="0" w:space="0" w:color="auto"/>
      </w:divBdr>
      <w:divsChild>
        <w:div w:id="968823619">
          <w:marLeft w:val="0"/>
          <w:marRight w:val="0"/>
          <w:marTop w:val="0"/>
          <w:marBottom w:val="180"/>
          <w:divBdr>
            <w:top w:val="none" w:sz="0" w:space="0" w:color="auto"/>
            <w:left w:val="none" w:sz="0" w:space="0" w:color="auto"/>
            <w:bottom w:val="none" w:sz="0" w:space="0" w:color="auto"/>
            <w:right w:val="none" w:sz="0" w:space="0" w:color="auto"/>
          </w:divBdr>
        </w:div>
        <w:div w:id="1313752476">
          <w:marLeft w:val="0"/>
          <w:marRight w:val="0"/>
          <w:marTop w:val="0"/>
          <w:marBottom w:val="1800"/>
          <w:divBdr>
            <w:top w:val="none" w:sz="0" w:space="0" w:color="auto"/>
            <w:left w:val="none" w:sz="0" w:space="0" w:color="auto"/>
            <w:bottom w:val="none" w:sz="0" w:space="0" w:color="auto"/>
            <w:right w:val="none" w:sz="0" w:space="0" w:color="auto"/>
          </w:divBdr>
          <w:divsChild>
            <w:div w:id="2014455245">
              <w:marLeft w:val="975"/>
              <w:marRight w:val="975"/>
              <w:marTop w:val="0"/>
              <w:marBottom w:val="225"/>
              <w:divBdr>
                <w:top w:val="none" w:sz="0" w:space="0" w:color="auto"/>
                <w:left w:val="none" w:sz="0" w:space="0" w:color="auto"/>
                <w:bottom w:val="none" w:sz="0" w:space="0" w:color="auto"/>
                <w:right w:val="none" w:sz="0" w:space="0" w:color="auto"/>
              </w:divBdr>
            </w:div>
            <w:div w:id="1893228486">
              <w:marLeft w:val="975"/>
              <w:marRight w:val="975"/>
              <w:marTop w:val="0"/>
              <w:marBottom w:val="225"/>
              <w:divBdr>
                <w:top w:val="none" w:sz="0" w:space="0" w:color="auto"/>
                <w:left w:val="none" w:sz="0" w:space="0" w:color="auto"/>
                <w:bottom w:val="none" w:sz="0" w:space="0" w:color="auto"/>
                <w:right w:val="none" w:sz="0" w:space="0" w:color="auto"/>
              </w:divBdr>
              <w:divsChild>
                <w:div w:id="1295408631">
                  <w:marLeft w:val="375"/>
                  <w:marRight w:val="375"/>
                  <w:marTop w:val="0"/>
                  <w:marBottom w:val="225"/>
                  <w:divBdr>
                    <w:top w:val="dashed" w:sz="6" w:space="11" w:color="CECECE"/>
                    <w:left w:val="dashed" w:sz="6" w:space="19" w:color="CECECE"/>
                    <w:bottom w:val="dashed" w:sz="6" w:space="11" w:color="CECECE"/>
                    <w:right w:val="dashed" w:sz="6" w:space="11" w:color="CECECE"/>
                  </w:divBdr>
                </w:div>
              </w:divsChild>
            </w:div>
          </w:divsChild>
        </w:div>
      </w:divsChild>
    </w:div>
    <w:div w:id="694889487">
      <w:bodyDiv w:val="1"/>
      <w:marLeft w:val="0"/>
      <w:marRight w:val="0"/>
      <w:marTop w:val="0"/>
      <w:marBottom w:val="0"/>
      <w:divBdr>
        <w:top w:val="none" w:sz="0" w:space="0" w:color="auto"/>
        <w:left w:val="none" w:sz="0" w:space="0" w:color="auto"/>
        <w:bottom w:val="none" w:sz="0" w:space="0" w:color="auto"/>
        <w:right w:val="none" w:sz="0" w:space="0" w:color="auto"/>
      </w:divBdr>
      <w:divsChild>
        <w:div w:id="983436984">
          <w:marLeft w:val="0"/>
          <w:marRight w:val="0"/>
          <w:marTop w:val="0"/>
          <w:marBottom w:val="180"/>
          <w:divBdr>
            <w:top w:val="none" w:sz="0" w:space="0" w:color="auto"/>
            <w:left w:val="none" w:sz="0" w:space="0" w:color="auto"/>
            <w:bottom w:val="none" w:sz="0" w:space="0" w:color="auto"/>
            <w:right w:val="none" w:sz="0" w:space="0" w:color="auto"/>
          </w:divBdr>
        </w:div>
        <w:div w:id="665935393">
          <w:marLeft w:val="0"/>
          <w:marRight w:val="0"/>
          <w:marTop w:val="0"/>
          <w:marBottom w:val="1800"/>
          <w:divBdr>
            <w:top w:val="none" w:sz="0" w:space="0" w:color="auto"/>
            <w:left w:val="none" w:sz="0" w:space="0" w:color="auto"/>
            <w:bottom w:val="none" w:sz="0" w:space="0" w:color="auto"/>
            <w:right w:val="none" w:sz="0" w:space="0" w:color="auto"/>
          </w:divBdr>
        </w:div>
      </w:divsChild>
    </w:div>
    <w:div w:id="869801179">
      <w:bodyDiv w:val="1"/>
      <w:marLeft w:val="0"/>
      <w:marRight w:val="0"/>
      <w:marTop w:val="0"/>
      <w:marBottom w:val="0"/>
      <w:divBdr>
        <w:top w:val="none" w:sz="0" w:space="0" w:color="auto"/>
        <w:left w:val="none" w:sz="0" w:space="0" w:color="auto"/>
        <w:bottom w:val="none" w:sz="0" w:space="0" w:color="auto"/>
        <w:right w:val="none" w:sz="0" w:space="0" w:color="auto"/>
      </w:divBdr>
      <w:divsChild>
        <w:div w:id="1492402105">
          <w:marLeft w:val="0"/>
          <w:marRight w:val="0"/>
          <w:marTop w:val="0"/>
          <w:marBottom w:val="180"/>
          <w:divBdr>
            <w:top w:val="none" w:sz="0" w:space="0" w:color="auto"/>
            <w:left w:val="none" w:sz="0" w:space="0" w:color="auto"/>
            <w:bottom w:val="none" w:sz="0" w:space="0" w:color="auto"/>
            <w:right w:val="none" w:sz="0" w:space="0" w:color="auto"/>
          </w:divBdr>
        </w:div>
        <w:div w:id="952055446">
          <w:marLeft w:val="0"/>
          <w:marRight w:val="0"/>
          <w:marTop w:val="0"/>
          <w:marBottom w:val="1800"/>
          <w:divBdr>
            <w:top w:val="none" w:sz="0" w:space="0" w:color="auto"/>
            <w:left w:val="none" w:sz="0" w:space="0" w:color="auto"/>
            <w:bottom w:val="none" w:sz="0" w:space="0" w:color="auto"/>
            <w:right w:val="none" w:sz="0" w:space="0" w:color="auto"/>
          </w:divBdr>
          <w:divsChild>
            <w:div w:id="704408301">
              <w:marLeft w:val="375"/>
              <w:marRight w:val="375"/>
              <w:marTop w:val="0"/>
              <w:marBottom w:val="225"/>
              <w:divBdr>
                <w:top w:val="none" w:sz="0" w:space="0" w:color="auto"/>
                <w:left w:val="none" w:sz="0" w:space="0" w:color="auto"/>
                <w:bottom w:val="none" w:sz="0" w:space="0" w:color="auto"/>
                <w:right w:val="none" w:sz="0" w:space="0" w:color="auto"/>
              </w:divBdr>
              <w:divsChild>
                <w:div w:id="1963920986">
                  <w:marLeft w:val="0"/>
                  <w:marRight w:val="0"/>
                  <w:marTop w:val="0"/>
                  <w:marBottom w:val="0"/>
                  <w:divBdr>
                    <w:top w:val="none" w:sz="0" w:space="0" w:color="auto"/>
                    <w:left w:val="none" w:sz="0" w:space="0" w:color="auto"/>
                    <w:bottom w:val="none" w:sz="0" w:space="0" w:color="auto"/>
                    <w:right w:val="none" w:sz="0" w:space="0" w:color="auto"/>
                  </w:divBdr>
                  <w:divsChild>
                    <w:div w:id="591285226">
                      <w:marLeft w:val="0"/>
                      <w:marRight w:val="0"/>
                      <w:marTop w:val="0"/>
                      <w:marBottom w:val="0"/>
                      <w:divBdr>
                        <w:top w:val="single" w:sz="48" w:space="4" w:color="F2F2F2"/>
                        <w:left w:val="single" w:sz="48" w:space="11" w:color="F2F2F2"/>
                        <w:bottom w:val="single" w:sz="48" w:space="11" w:color="F2F2F2"/>
                        <w:right w:val="single" w:sz="48" w:space="11" w:color="F2F2F2"/>
                      </w:divBdr>
                      <w:divsChild>
                        <w:div w:id="615674976">
                          <w:marLeft w:val="-375"/>
                          <w:marRight w:val="0"/>
                          <w:marTop w:val="0"/>
                          <w:marBottom w:val="150"/>
                          <w:divBdr>
                            <w:top w:val="none" w:sz="0" w:space="0" w:color="auto"/>
                            <w:left w:val="none" w:sz="0" w:space="0" w:color="auto"/>
                            <w:bottom w:val="none" w:sz="0" w:space="0" w:color="auto"/>
                            <w:right w:val="none" w:sz="0" w:space="0" w:color="auto"/>
                          </w:divBdr>
                        </w:div>
                        <w:div w:id="1089227864">
                          <w:marLeft w:val="0"/>
                          <w:marRight w:val="0"/>
                          <w:marTop w:val="75"/>
                          <w:marBottom w:val="225"/>
                          <w:divBdr>
                            <w:top w:val="none" w:sz="0" w:space="0" w:color="auto"/>
                            <w:left w:val="none" w:sz="0" w:space="0" w:color="auto"/>
                            <w:bottom w:val="none" w:sz="0" w:space="0" w:color="auto"/>
                            <w:right w:val="none" w:sz="0" w:space="0" w:color="auto"/>
                          </w:divBdr>
                        </w:div>
                        <w:div w:id="1783454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37280926">
              <w:marLeft w:val="375"/>
              <w:marRight w:val="375"/>
              <w:marTop w:val="0"/>
              <w:marBottom w:val="225"/>
              <w:divBdr>
                <w:top w:val="none" w:sz="0" w:space="0" w:color="auto"/>
                <w:left w:val="none" w:sz="0" w:space="0" w:color="auto"/>
                <w:bottom w:val="none" w:sz="0" w:space="0" w:color="auto"/>
                <w:right w:val="none" w:sz="0" w:space="0" w:color="auto"/>
              </w:divBdr>
              <w:divsChild>
                <w:div w:id="1340421997">
                  <w:marLeft w:val="0"/>
                  <w:marRight w:val="0"/>
                  <w:marTop w:val="0"/>
                  <w:marBottom w:val="0"/>
                  <w:divBdr>
                    <w:top w:val="none" w:sz="0" w:space="0" w:color="auto"/>
                    <w:left w:val="none" w:sz="0" w:space="0" w:color="auto"/>
                    <w:bottom w:val="none" w:sz="0" w:space="0" w:color="auto"/>
                    <w:right w:val="none" w:sz="0" w:space="0" w:color="auto"/>
                  </w:divBdr>
                  <w:divsChild>
                    <w:div w:id="128302772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023870665">
                          <w:marLeft w:val="-375"/>
                          <w:marRight w:val="0"/>
                          <w:marTop w:val="0"/>
                          <w:marBottom w:val="150"/>
                          <w:divBdr>
                            <w:top w:val="none" w:sz="0" w:space="0" w:color="auto"/>
                            <w:left w:val="none" w:sz="0" w:space="0" w:color="auto"/>
                            <w:bottom w:val="none" w:sz="0" w:space="0" w:color="auto"/>
                            <w:right w:val="none" w:sz="0" w:space="0" w:color="auto"/>
                          </w:divBdr>
                        </w:div>
                        <w:div w:id="1261064853">
                          <w:marLeft w:val="0"/>
                          <w:marRight w:val="0"/>
                          <w:marTop w:val="75"/>
                          <w:marBottom w:val="225"/>
                          <w:divBdr>
                            <w:top w:val="none" w:sz="0" w:space="0" w:color="auto"/>
                            <w:left w:val="none" w:sz="0" w:space="0" w:color="auto"/>
                            <w:bottom w:val="none" w:sz="0" w:space="0" w:color="auto"/>
                            <w:right w:val="none" w:sz="0" w:space="0" w:color="auto"/>
                          </w:divBdr>
                        </w:div>
                        <w:div w:id="13237009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915629613">
      <w:bodyDiv w:val="1"/>
      <w:marLeft w:val="0"/>
      <w:marRight w:val="0"/>
      <w:marTop w:val="0"/>
      <w:marBottom w:val="0"/>
      <w:divBdr>
        <w:top w:val="none" w:sz="0" w:space="0" w:color="auto"/>
        <w:left w:val="none" w:sz="0" w:space="0" w:color="auto"/>
        <w:bottom w:val="none" w:sz="0" w:space="0" w:color="auto"/>
        <w:right w:val="none" w:sz="0" w:space="0" w:color="auto"/>
      </w:divBdr>
      <w:divsChild>
        <w:div w:id="97599488">
          <w:marLeft w:val="0"/>
          <w:marRight w:val="0"/>
          <w:marTop w:val="0"/>
          <w:marBottom w:val="180"/>
          <w:divBdr>
            <w:top w:val="none" w:sz="0" w:space="0" w:color="auto"/>
            <w:left w:val="none" w:sz="0" w:space="0" w:color="auto"/>
            <w:bottom w:val="none" w:sz="0" w:space="0" w:color="auto"/>
            <w:right w:val="none" w:sz="0" w:space="0" w:color="auto"/>
          </w:divBdr>
        </w:div>
        <w:div w:id="977761016">
          <w:marLeft w:val="0"/>
          <w:marRight w:val="0"/>
          <w:marTop w:val="0"/>
          <w:marBottom w:val="1800"/>
          <w:divBdr>
            <w:top w:val="none" w:sz="0" w:space="0" w:color="auto"/>
            <w:left w:val="none" w:sz="0" w:space="0" w:color="auto"/>
            <w:bottom w:val="none" w:sz="0" w:space="0" w:color="auto"/>
            <w:right w:val="none" w:sz="0" w:space="0" w:color="auto"/>
          </w:divBdr>
          <w:divsChild>
            <w:div w:id="2137677426">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7638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82242">
      <w:bodyDiv w:val="1"/>
      <w:marLeft w:val="0"/>
      <w:marRight w:val="0"/>
      <w:marTop w:val="0"/>
      <w:marBottom w:val="0"/>
      <w:divBdr>
        <w:top w:val="none" w:sz="0" w:space="0" w:color="auto"/>
        <w:left w:val="none" w:sz="0" w:space="0" w:color="auto"/>
        <w:bottom w:val="none" w:sz="0" w:space="0" w:color="auto"/>
        <w:right w:val="none" w:sz="0" w:space="0" w:color="auto"/>
      </w:divBdr>
      <w:divsChild>
        <w:div w:id="52781954">
          <w:marLeft w:val="0"/>
          <w:marRight w:val="0"/>
          <w:marTop w:val="0"/>
          <w:marBottom w:val="180"/>
          <w:divBdr>
            <w:top w:val="none" w:sz="0" w:space="0" w:color="auto"/>
            <w:left w:val="none" w:sz="0" w:space="0" w:color="auto"/>
            <w:bottom w:val="none" w:sz="0" w:space="0" w:color="auto"/>
            <w:right w:val="none" w:sz="0" w:space="0" w:color="auto"/>
          </w:divBdr>
        </w:div>
        <w:div w:id="102383302">
          <w:marLeft w:val="0"/>
          <w:marRight w:val="0"/>
          <w:marTop w:val="0"/>
          <w:marBottom w:val="1800"/>
          <w:divBdr>
            <w:top w:val="none" w:sz="0" w:space="0" w:color="auto"/>
            <w:left w:val="none" w:sz="0" w:space="0" w:color="auto"/>
            <w:bottom w:val="none" w:sz="0" w:space="0" w:color="auto"/>
            <w:right w:val="none" w:sz="0" w:space="0" w:color="auto"/>
          </w:divBdr>
        </w:div>
      </w:divsChild>
    </w:div>
    <w:div w:id="1068842960">
      <w:bodyDiv w:val="1"/>
      <w:marLeft w:val="0"/>
      <w:marRight w:val="0"/>
      <w:marTop w:val="0"/>
      <w:marBottom w:val="0"/>
      <w:divBdr>
        <w:top w:val="none" w:sz="0" w:space="0" w:color="auto"/>
        <w:left w:val="none" w:sz="0" w:space="0" w:color="auto"/>
        <w:bottom w:val="none" w:sz="0" w:space="0" w:color="auto"/>
        <w:right w:val="none" w:sz="0" w:space="0" w:color="auto"/>
      </w:divBdr>
      <w:divsChild>
        <w:div w:id="577716506">
          <w:marLeft w:val="0"/>
          <w:marRight w:val="0"/>
          <w:marTop w:val="0"/>
          <w:marBottom w:val="180"/>
          <w:divBdr>
            <w:top w:val="none" w:sz="0" w:space="0" w:color="auto"/>
            <w:left w:val="none" w:sz="0" w:space="0" w:color="auto"/>
            <w:bottom w:val="none" w:sz="0" w:space="0" w:color="auto"/>
            <w:right w:val="none" w:sz="0" w:space="0" w:color="auto"/>
          </w:divBdr>
        </w:div>
        <w:div w:id="152571500">
          <w:marLeft w:val="0"/>
          <w:marRight w:val="0"/>
          <w:marTop w:val="0"/>
          <w:marBottom w:val="1800"/>
          <w:divBdr>
            <w:top w:val="none" w:sz="0" w:space="0" w:color="auto"/>
            <w:left w:val="none" w:sz="0" w:space="0" w:color="auto"/>
            <w:bottom w:val="none" w:sz="0" w:space="0" w:color="auto"/>
            <w:right w:val="none" w:sz="0" w:space="0" w:color="auto"/>
          </w:divBdr>
          <w:divsChild>
            <w:div w:id="653219309">
              <w:marLeft w:val="375"/>
              <w:marRight w:val="375"/>
              <w:marTop w:val="0"/>
              <w:marBottom w:val="225"/>
              <w:divBdr>
                <w:top w:val="dashed" w:sz="6" w:space="11" w:color="CECECE"/>
                <w:left w:val="dashed" w:sz="6" w:space="19" w:color="CECECE"/>
                <w:bottom w:val="dashed" w:sz="6" w:space="11" w:color="CECECE"/>
                <w:right w:val="dashed" w:sz="6" w:space="11" w:color="CECECE"/>
              </w:divBdr>
            </w:div>
            <w:div w:id="1046761434">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4378122">
                  <w:marLeft w:val="-375"/>
                  <w:marRight w:val="0"/>
                  <w:marTop w:val="0"/>
                  <w:marBottom w:val="240"/>
                  <w:divBdr>
                    <w:top w:val="none" w:sz="0" w:space="0" w:color="auto"/>
                    <w:left w:val="none" w:sz="0" w:space="0" w:color="auto"/>
                    <w:bottom w:val="none" w:sz="0" w:space="0" w:color="auto"/>
                    <w:right w:val="none" w:sz="0" w:space="0" w:color="auto"/>
                  </w:divBdr>
                </w:div>
                <w:div w:id="1637032333">
                  <w:marLeft w:val="0"/>
                  <w:marRight w:val="0"/>
                  <w:marTop w:val="0"/>
                  <w:marBottom w:val="0"/>
                  <w:divBdr>
                    <w:top w:val="none" w:sz="0" w:space="0" w:color="auto"/>
                    <w:left w:val="none" w:sz="0" w:space="0" w:color="auto"/>
                    <w:bottom w:val="none" w:sz="0" w:space="0" w:color="auto"/>
                    <w:right w:val="none" w:sz="0" w:space="0" w:color="auto"/>
                  </w:divBdr>
                  <w:divsChild>
                    <w:div w:id="140872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68568">
      <w:bodyDiv w:val="1"/>
      <w:marLeft w:val="0"/>
      <w:marRight w:val="0"/>
      <w:marTop w:val="0"/>
      <w:marBottom w:val="0"/>
      <w:divBdr>
        <w:top w:val="none" w:sz="0" w:space="0" w:color="auto"/>
        <w:left w:val="none" w:sz="0" w:space="0" w:color="auto"/>
        <w:bottom w:val="none" w:sz="0" w:space="0" w:color="auto"/>
        <w:right w:val="none" w:sz="0" w:space="0" w:color="auto"/>
      </w:divBdr>
      <w:divsChild>
        <w:div w:id="1155993701">
          <w:marLeft w:val="0"/>
          <w:marRight w:val="0"/>
          <w:marTop w:val="0"/>
          <w:marBottom w:val="180"/>
          <w:divBdr>
            <w:top w:val="none" w:sz="0" w:space="0" w:color="auto"/>
            <w:left w:val="none" w:sz="0" w:space="0" w:color="auto"/>
            <w:bottom w:val="none" w:sz="0" w:space="0" w:color="auto"/>
            <w:right w:val="none" w:sz="0" w:space="0" w:color="auto"/>
          </w:divBdr>
        </w:div>
        <w:div w:id="714350506">
          <w:marLeft w:val="0"/>
          <w:marRight w:val="0"/>
          <w:marTop w:val="0"/>
          <w:marBottom w:val="1800"/>
          <w:divBdr>
            <w:top w:val="none" w:sz="0" w:space="0" w:color="auto"/>
            <w:left w:val="none" w:sz="0" w:space="0" w:color="auto"/>
            <w:bottom w:val="none" w:sz="0" w:space="0" w:color="auto"/>
            <w:right w:val="none" w:sz="0" w:space="0" w:color="auto"/>
          </w:divBdr>
          <w:divsChild>
            <w:div w:id="218707376">
              <w:marLeft w:val="375"/>
              <w:marRight w:val="375"/>
              <w:marTop w:val="0"/>
              <w:marBottom w:val="225"/>
              <w:divBdr>
                <w:top w:val="dashed" w:sz="6" w:space="11" w:color="CECECE"/>
                <w:left w:val="dashed" w:sz="6" w:space="19" w:color="CECECE"/>
                <w:bottom w:val="dashed" w:sz="6" w:space="11" w:color="CECECE"/>
                <w:right w:val="dashed" w:sz="6" w:space="11" w:color="CECECE"/>
              </w:divBdr>
            </w:div>
            <w:div w:id="1258368923">
              <w:marLeft w:val="375"/>
              <w:marRight w:val="375"/>
              <w:marTop w:val="0"/>
              <w:marBottom w:val="225"/>
              <w:divBdr>
                <w:top w:val="dashed" w:sz="6" w:space="11" w:color="CECECE"/>
                <w:left w:val="dashed" w:sz="6" w:space="19" w:color="CECECE"/>
                <w:bottom w:val="dashed" w:sz="6" w:space="11" w:color="CECECE"/>
                <w:right w:val="dashed" w:sz="6" w:space="11" w:color="CECECE"/>
              </w:divBdr>
            </w:div>
            <w:div w:id="1920482168">
              <w:marLeft w:val="375"/>
              <w:marRight w:val="375"/>
              <w:marTop w:val="0"/>
              <w:marBottom w:val="225"/>
              <w:divBdr>
                <w:top w:val="dashed" w:sz="6" w:space="11" w:color="CECECE"/>
                <w:left w:val="dashed" w:sz="6" w:space="19" w:color="CECECE"/>
                <w:bottom w:val="dashed" w:sz="6" w:space="11" w:color="CECECE"/>
                <w:right w:val="dashed" w:sz="6" w:space="11" w:color="CECECE"/>
              </w:divBdr>
            </w:div>
            <w:div w:id="313729970">
              <w:marLeft w:val="375"/>
              <w:marRight w:val="375"/>
              <w:marTop w:val="0"/>
              <w:marBottom w:val="225"/>
              <w:divBdr>
                <w:top w:val="dashed" w:sz="6" w:space="11" w:color="CECECE"/>
                <w:left w:val="dashed" w:sz="6" w:space="19" w:color="CECECE"/>
                <w:bottom w:val="dashed" w:sz="6" w:space="11" w:color="CECECE"/>
                <w:right w:val="dashed" w:sz="6" w:space="11" w:color="CECECE"/>
              </w:divBdr>
            </w:div>
            <w:div w:id="234362503">
              <w:marLeft w:val="375"/>
              <w:marRight w:val="375"/>
              <w:marTop w:val="0"/>
              <w:marBottom w:val="225"/>
              <w:divBdr>
                <w:top w:val="none" w:sz="0" w:space="0" w:color="auto"/>
                <w:left w:val="none" w:sz="0" w:space="0" w:color="auto"/>
                <w:bottom w:val="none" w:sz="0" w:space="0" w:color="auto"/>
                <w:right w:val="none" w:sz="0" w:space="0" w:color="auto"/>
              </w:divBdr>
              <w:divsChild>
                <w:div w:id="344720168">
                  <w:marLeft w:val="0"/>
                  <w:marRight w:val="0"/>
                  <w:marTop w:val="0"/>
                  <w:marBottom w:val="0"/>
                  <w:divBdr>
                    <w:top w:val="none" w:sz="0" w:space="0" w:color="auto"/>
                    <w:left w:val="none" w:sz="0" w:space="0" w:color="auto"/>
                    <w:bottom w:val="none" w:sz="0" w:space="0" w:color="auto"/>
                    <w:right w:val="none" w:sz="0" w:space="0" w:color="auto"/>
                  </w:divBdr>
                  <w:divsChild>
                    <w:div w:id="18274295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723165075">
                          <w:marLeft w:val="-375"/>
                          <w:marRight w:val="0"/>
                          <w:marTop w:val="0"/>
                          <w:marBottom w:val="150"/>
                          <w:divBdr>
                            <w:top w:val="none" w:sz="0" w:space="0" w:color="auto"/>
                            <w:left w:val="none" w:sz="0" w:space="0" w:color="auto"/>
                            <w:bottom w:val="none" w:sz="0" w:space="0" w:color="auto"/>
                            <w:right w:val="none" w:sz="0" w:space="0" w:color="auto"/>
                          </w:divBdr>
                        </w:div>
                        <w:div w:id="1105924223">
                          <w:marLeft w:val="0"/>
                          <w:marRight w:val="0"/>
                          <w:marTop w:val="75"/>
                          <w:marBottom w:val="225"/>
                          <w:divBdr>
                            <w:top w:val="none" w:sz="0" w:space="0" w:color="auto"/>
                            <w:left w:val="none" w:sz="0" w:space="0" w:color="auto"/>
                            <w:bottom w:val="none" w:sz="0" w:space="0" w:color="auto"/>
                            <w:right w:val="none" w:sz="0" w:space="0" w:color="auto"/>
                          </w:divBdr>
                        </w:div>
                        <w:div w:id="15207729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047489097">
              <w:marLeft w:val="375"/>
              <w:marRight w:val="375"/>
              <w:marTop w:val="0"/>
              <w:marBottom w:val="225"/>
              <w:divBdr>
                <w:top w:val="dashed" w:sz="6" w:space="11" w:color="CECECE"/>
                <w:left w:val="dashed" w:sz="6" w:space="19" w:color="CECECE"/>
                <w:bottom w:val="dashed" w:sz="6" w:space="11" w:color="CECECE"/>
                <w:right w:val="dashed" w:sz="6" w:space="11" w:color="CECECE"/>
              </w:divBdr>
            </w:div>
          </w:divsChild>
        </w:div>
      </w:divsChild>
    </w:div>
    <w:div w:id="1270429382">
      <w:bodyDiv w:val="1"/>
      <w:marLeft w:val="0"/>
      <w:marRight w:val="0"/>
      <w:marTop w:val="0"/>
      <w:marBottom w:val="0"/>
      <w:divBdr>
        <w:top w:val="none" w:sz="0" w:space="0" w:color="auto"/>
        <w:left w:val="none" w:sz="0" w:space="0" w:color="auto"/>
        <w:bottom w:val="none" w:sz="0" w:space="0" w:color="auto"/>
        <w:right w:val="none" w:sz="0" w:space="0" w:color="auto"/>
      </w:divBdr>
      <w:divsChild>
        <w:div w:id="1611428073">
          <w:marLeft w:val="0"/>
          <w:marRight w:val="0"/>
          <w:marTop w:val="0"/>
          <w:marBottom w:val="180"/>
          <w:divBdr>
            <w:top w:val="none" w:sz="0" w:space="0" w:color="auto"/>
            <w:left w:val="none" w:sz="0" w:space="0" w:color="auto"/>
            <w:bottom w:val="none" w:sz="0" w:space="0" w:color="auto"/>
            <w:right w:val="none" w:sz="0" w:space="0" w:color="auto"/>
          </w:divBdr>
        </w:div>
        <w:div w:id="1659381531">
          <w:marLeft w:val="0"/>
          <w:marRight w:val="0"/>
          <w:marTop w:val="0"/>
          <w:marBottom w:val="1800"/>
          <w:divBdr>
            <w:top w:val="none" w:sz="0" w:space="0" w:color="auto"/>
            <w:left w:val="none" w:sz="0" w:space="0" w:color="auto"/>
            <w:bottom w:val="none" w:sz="0" w:space="0" w:color="auto"/>
            <w:right w:val="none" w:sz="0" w:space="0" w:color="auto"/>
          </w:divBdr>
          <w:divsChild>
            <w:div w:id="978845768">
              <w:marLeft w:val="375"/>
              <w:marRight w:val="375"/>
              <w:marTop w:val="0"/>
              <w:marBottom w:val="225"/>
              <w:divBdr>
                <w:top w:val="none" w:sz="0" w:space="4" w:color="auto"/>
                <w:left w:val="single" w:sz="48" w:space="11" w:color="F5F5F5"/>
                <w:bottom w:val="none" w:sz="0" w:space="11" w:color="auto"/>
                <w:right w:val="none" w:sz="0" w:space="11" w:color="auto"/>
              </w:divBdr>
              <w:divsChild>
                <w:div w:id="929195219">
                  <w:marLeft w:val="-375"/>
                  <w:marRight w:val="0"/>
                  <w:marTop w:val="0"/>
                  <w:marBottom w:val="240"/>
                  <w:divBdr>
                    <w:top w:val="none" w:sz="0" w:space="0" w:color="auto"/>
                    <w:left w:val="none" w:sz="0" w:space="0" w:color="auto"/>
                    <w:bottom w:val="none" w:sz="0" w:space="0" w:color="auto"/>
                    <w:right w:val="none" w:sz="0" w:space="0" w:color="auto"/>
                  </w:divBdr>
                </w:div>
                <w:div w:id="253125537">
                  <w:marLeft w:val="0"/>
                  <w:marRight w:val="0"/>
                  <w:marTop w:val="0"/>
                  <w:marBottom w:val="0"/>
                  <w:divBdr>
                    <w:top w:val="none" w:sz="0" w:space="0" w:color="auto"/>
                    <w:left w:val="none" w:sz="0" w:space="0" w:color="auto"/>
                    <w:bottom w:val="none" w:sz="0" w:space="0" w:color="auto"/>
                    <w:right w:val="none" w:sz="0" w:space="0" w:color="auto"/>
                  </w:divBdr>
                </w:div>
              </w:divsChild>
            </w:div>
            <w:div w:id="279118044">
              <w:marLeft w:val="375"/>
              <w:marRight w:val="375"/>
              <w:marTop w:val="0"/>
              <w:marBottom w:val="225"/>
              <w:divBdr>
                <w:top w:val="none" w:sz="0" w:space="0" w:color="auto"/>
                <w:left w:val="none" w:sz="0" w:space="0" w:color="auto"/>
                <w:bottom w:val="none" w:sz="0" w:space="0" w:color="auto"/>
                <w:right w:val="none" w:sz="0" w:space="0" w:color="auto"/>
              </w:divBdr>
              <w:divsChild>
                <w:div w:id="128286329">
                  <w:marLeft w:val="0"/>
                  <w:marRight w:val="0"/>
                  <w:marTop w:val="0"/>
                  <w:marBottom w:val="0"/>
                  <w:divBdr>
                    <w:top w:val="none" w:sz="0" w:space="0" w:color="auto"/>
                    <w:left w:val="none" w:sz="0" w:space="0" w:color="auto"/>
                    <w:bottom w:val="none" w:sz="0" w:space="0" w:color="auto"/>
                    <w:right w:val="none" w:sz="0" w:space="0" w:color="auto"/>
                  </w:divBdr>
                  <w:divsChild>
                    <w:div w:id="191754676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287855134">
                          <w:marLeft w:val="-375"/>
                          <w:marRight w:val="0"/>
                          <w:marTop w:val="0"/>
                          <w:marBottom w:val="150"/>
                          <w:divBdr>
                            <w:top w:val="none" w:sz="0" w:space="0" w:color="auto"/>
                            <w:left w:val="none" w:sz="0" w:space="0" w:color="auto"/>
                            <w:bottom w:val="none" w:sz="0" w:space="0" w:color="auto"/>
                            <w:right w:val="none" w:sz="0" w:space="0" w:color="auto"/>
                          </w:divBdr>
                        </w:div>
                        <w:div w:id="869025788">
                          <w:marLeft w:val="0"/>
                          <w:marRight w:val="0"/>
                          <w:marTop w:val="75"/>
                          <w:marBottom w:val="225"/>
                          <w:divBdr>
                            <w:top w:val="none" w:sz="0" w:space="0" w:color="auto"/>
                            <w:left w:val="none" w:sz="0" w:space="0" w:color="auto"/>
                            <w:bottom w:val="none" w:sz="0" w:space="0" w:color="auto"/>
                            <w:right w:val="none" w:sz="0" w:space="0" w:color="auto"/>
                          </w:divBdr>
                        </w:div>
                        <w:div w:id="5666944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930888390">
              <w:marLeft w:val="375"/>
              <w:marRight w:val="375"/>
              <w:marTop w:val="0"/>
              <w:marBottom w:val="225"/>
              <w:divBdr>
                <w:top w:val="none" w:sz="0" w:space="0" w:color="auto"/>
                <w:left w:val="none" w:sz="0" w:space="0" w:color="auto"/>
                <w:bottom w:val="none" w:sz="0" w:space="0" w:color="auto"/>
                <w:right w:val="none" w:sz="0" w:space="0" w:color="auto"/>
              </w:divBdr>
              <w:divsChild>
                <w:div w:id="302277572">
                  <w:marLeft w:val="0"/>
                  <w:marRight w:val="0"/>
                  <w:marTop w:val="0"/>
                  <w:marBottom w:val="0"/>
                  <w:divBdr>
                    <w:top w:val="none" w:sz="0" w:space="0" w:color="auto"/>
                    <w:left w:val="none" w:sz="0" w:space="0" w:color="auto"/>
                    <w:bottom w:val="none" w:sz="0" w:space="0" w:color="auto"/>
                    <w:right w:val="none" w:sz="0" w:space="0" w:color="auto"/>
                  </w:divBdr>
                  <w:divsChild>
                    <w:div w:id="61055359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088918756">
                          <w:marLeft w:val="-375"/>
                          <w:marRight w:val="0"/>
                          <w:marTop w:val="0"/>
                          <w:marBottom w:val="150"/>
                          <w:divBdr>
                            <w:top w:val="none" w:sz="0" w:space="0" w:color="auto"/>
                            <w:left w:val="none" w:sz="0" w:space="0" w:color="auto"/>
                            <w:bottom w:val="none" w:sz="0" w:space="0" w:color="auto"/>
                            <w:right w:val="none" w:sz="0" w:space="0" w:color="auto"/>
                          </w:divBdr>
                        </w:div>
                        <w:div w:id="1944917793">
                          <w:marLeft w:val="0"/>
                          <w:marRight w:val="0"/>
                          <w:marTop w:val="75"/>
                          <w:marBottom w:val="225"/>
                          <w:divBdr>
                            <w:top w:val="none" w:sz="0" w:space="0" w:color="auto"/>
                            <w:left w:val="none" w:sz="0" w:space="0" w:color="auto"/>
                            <w:bottom w:val="none" w:sz="0" w:space="0" w:color="auto"/>
                            <w:right w:val="none" w:sz="0" w:space="0" w:color="auto"/>
                          </w:divBdr>
                        </w:div>
                        <w:div w:id="133283688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54777662">
              <w:marLeft w:val="975"/>
              <w:marRight w:val="975"/>
              <w:marTop w:val="0"/>
              <w:marBottom w:val="225"/>
              <w:divBdr>
                <w:top w:val="none" w:sz="0" w:space="0" w:color="auto"/>
                <w:left w:val="none" w:sz="0" w:space="0" w:color="auto"/>
                <w:bottom w:val="none" w:sz="0" w:space="0" w:color="auto"/>
                <w:right w:val="none" w:sz="0" w:space="0" w:color="auto"/>
              </w:divBdr>
              <w:divsChild>
                <w:div w:id="889078639">
                  <w:marLeft w:val="375"/>
                  <w:marRight w:val="375"/>
                  <w:marTop w:val="0"/>
                  <w:marBottom w:val="225"/>
                  <w:divBdr>
                    <w:top w:val="dashed" w:sz="6" w:space="11" w:color="CECECE"/>
                    <w:left w:val="dashed" w:sz="6" w:space="19" w:color="CECECE"/>
                    <w:bottom w:val="dashed" w:sz="6" w:space="11" w:color="CECECE"/>
                    <w:right w:val="dashed" w:sz="6" w:space="11" w:color="CECECE"/>
                  </w:divBdr>
                </w:div>
                <w:div w:id="406847516">
                  <w:marLeft w:val="375"/>
                  <w:marRight w:val="375"/>
                  <w:marTop w:val="0"/>
                  <w:marBottom w:val="225"/>
                  <w:divBdr>
                    <w:top w:val="none" w:sz="0" w:space="0" w:color="auto"/>
                    <w:left w:val="none" w:sz="0" w:space="0" w:color="auto"/>
                    <w:bottom w:val="none" w:sz="0" w:space="0" w:color="auto"/>
                    <w:right w:val="none" w:sz="0" w:space="0" w:color="auto"/>
                  </w:divBdr>
                  <w:divsChild>
                    <w:div w:id="651907625">
                      <w:marLeft w:val="0"/>
                      <w:marRight w:val="0"/>
                      <w:marTop w:val="0"/>
                      <w:marBottom w:val="0"/>
                      <w:divBdr>
                        <w:top w:val="none" w:sz="0" w:space="0" w:color="auto"/>
                        <w:left w:val="none" w:sz="0" w:space="0" w:color="auto"/>
                        <w:bottom w:val="none" w:sz="0" w:space="0" w:color="auto"/>
                        <w:right w:val="none" w:sz="0" w:space="0" w:color="auto"/>
                      </w:divBdr>
                      <w:divsChild>
                        <w:div w:id="70394630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643778588">
                              <w:marLeft w:val="-375"/>
                              <w:marRight w:val="0"/>
                              <w:marTop w:val="0"/>
                              <w:marBottom w:val="150"/>
                              <w:divBdr>
                                <w:top w:val="none" w:sz="0" w:space="0" w:color="auto"/>
                                <w:left w:val="none" w:sz="0" w:space="0" w:color="auto"/>
                                <w:bottom w:val="none" w:sz="0" w:space="0" w:color="auto"/>
                                <w:right w:val="none" w:sz="0" w:space="0" w:color="auto"/>
                              </w:divBdr>
                            </w:div>
                            <w:div w:id="75370845">
                              <w:marLeft w:val="0"/>
                              <w:marRight w:val="0"/>
                              <w:marTop w:val="75"/>
                              <w:marBottom w:val="225"/>
                              <w:divBdr>
                                <w:top w:val="none" w:sz="0" w:space="0" w:color="auto"/>
                                <w:left w:val="none" w:sz="0" w:space="0" w:color="auto"/>
                                <w:bottom w:val="none" w:sz="0" w:space="0" w:color="auto"/>
                                <w:right w:val="none" w:sz="0" w:space="0" w:color="auto"/>
                              </w:divBdr>
                            </w:div>
                            <w:div w:id="9259581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712143479">
                  <w:marLeft w:val="375"/>
                  <w:marRight w:val="375"/>
                  <w:marTop w:val="0"/>
                  <w:marBottom w:val="225"/>
                  <w:divBdr>
                    <w:top w:val="none" w:sz="0" w:space="0" w:color="auto"/>
                    <w:left w:val="none" w:sz="0" w:space="0" w:color="auto"/>
                    <w:bottom w:val="none" w:sz="0" w:space="0" w:color="auto"/>
                    <w:right w:val="none" w:sz="0" w:space="0" w:color="auto"/>
                  </w:divBdr>
                  <w:divsChild>
                    <w:div w:id="78523224">
                      <w:marLeft w:val="0"/>
                      <w:marRight w:val="0"/>
                      <w:marTop w:val="0"/>
                      <w:marBottom w:val="0"/>
                      <w:divBdr>
                        <w:top w:val="none" w:sz="0" w:space="0" w:color="auto"/>
                        <w:left w:val="none" w:sz="0" w:space="0" w:color="auto"/>
                        <w:bottom w:val="none" w:sz="0" w:space="0" w:color="auto"/>
                        <w:right w:val="none" w:sz="0" w:space="0" w:color="auto"/>
                      </w:divBdr>
                      <w:divsChild>
                        <w:div w:id="69049565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158380841">
                              <w:marLeft w:val="-375"/>
                              <w:marRight w:val="0"/>
                              <w:marTop w:val="0"/>
                              <w:marBottom w:val="150"/>
                              <w:divBdr>
                                <w:top w:val="none" w:sz="0" w:space="0" w:color="auto"/>
                                <w:left w:val="none" w:sz="0" w:space="0" w:color="auto"/>
                                <w:bottom w:val="none" w:sz="0" w:space="0" w:color="auto"/>
                                <w:right w:val="none" w:sz="0" w:space="0" w:color="auto"/>
                              </w:divBdr>
                            </w:div>
                            <w:div w:id="949051100">
                              <w:marLeft w:val="0"/>
                              <w:marRight w:val="0"/>
                              <w:marTop w:val="75"/>
                              <w:marBottom w:val="225"/>
                              <w:divBdr>
                                <w:top w:val="none" w:sz="0" w:space="0" w:color="auto"/>
                                <w:left w:val="none" w:sz="0" w:space="0" w:color="auto"/>
                                <w:bottom w:val="none" w:sz="0" w:space="0" w:color="auto"/>
                                <w:right w:val="none" w:sz="0" w:space="0" w:color="auto"/>
                              </w:divBdr>
                            </w:div>
                            <w:div w:id="121149982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978">
      <w:bodyDiv w:val="1"/>
      <w:marLeft w:val="0"/>
      <w:marRight w:val="0"/>
      <w:marTop w:val="0"/>
      <w:marBottom w:val="0"/>
      <w:divBdr>
        <w:top w:val="none" w:sz="0" w:space="0" w:color="auto"/>
        <w:left w:val="none" w:sz="0" w:space="0" w:color="auto"/>
        <w:bottom w:val="none" w:sz="0" w:space="0" w:color="auto"/>
        <w:right w:val="none" w:sz="0" w:space="0" w:color="auto"/>
      </w:divBdr>
      <w:divsChild>
        <w:div w:id="804547630">
          <w:marLeft w:val="0"/>
          <w:marRight w:val="0"/>
          <w:marTop w:val="0"/>
          <w:marBottom w:val="180"/>
          <w:divBdr>
            <w:top w:val="none" w:sz="0" w:space="0" w:color="auto"/>
            <w:left w:val="none" w:sz="0" w:space="0" w:color="auto"/>
            <w:bottom w:val="none" w:sz="0" w:space="0" w:color="auto"/>
            <w:right w:val="none" w:sz="0" w:space="0" w:color="auto"/>
          </w:divBdr>
        </w:div>
        <w:div w:id="1660887701">
          <w:marLeft w:val="0"/>
          <w:marRight w:val="0"/>
          <w:marTop w:val="0"/>
          <w:marBottom w:val="1800"/>
          <w:divBdr>
            <w:top w:val="none" w:sz="0" w:space="0" w:color="auto"/>
            <w:left w:val="none" w:sz="0" w:space="0" w:color="auto"/>
            <w:bottom w:val="none" w:sz="0" w:space="0" w:color="auto"/>
            <w:right w:val="none" w:sz="0" w:space="0" w:color="auto"/>
          </w:divBdr>
          <w:divsChild>
            <w:div w:id="817958291">
              <w:marLeft w:val="975"/>
              <w:marRight w:val="975"/>
              <w:marTop w:val="0"/>
              <w:marBottom w:val="225"/>
              <w:divBdr>
                <w:top w:val="none" w:sz="0" w:space="0" w:color="auto"/>
                <w:left w:val="none" w:sz="0" w:space="0" w:color="auto"/>
                <w:bottom w:val="none" w:sz="0" w:space="0" w:color="auto"/>
                <w:right w:val="none" w:sz="0" w:space="0" w:color="auto"/>
              </w:divBdr>
              <w:divsChild>
                <w:div w:id="760761060">
                  <w:marLeft w:val="375"/>
                  <w:marRight w:val="375"/>
                  <w:marTop w:val="0"/>
                  <w:marBottom w:val="225"/>
                  <w:divBdr>
                    <w:top w:val="none" w:sz="0" w:space="0" w:color="auto"/>
                    <w:left w:val="none" w:sz="0" w:space="0" w:color="auto"/>
                    <w:bottom w:val="none" w:sz="0" w:space="0" w:color="auto"/>
                    <w:right w:val="none" w:sz="0" w:space="0" w:color="auto"/>
                  </w:divBdr>
                  <w:divsChild>
                    <w:div w:id="291403031">
                      <w:marLeft w:val="0"/>
                      <w:marRight w:val="0"/>
                      <w:marTop w:val="0"/>
                      <w:marBottom w:val="0"/>
                      <w:divBdr>
                        <w:top w:val="none" w:sz="0" w:space="0" w:color="auto"/>
                        <w:left w:val="none" w:sz="0" w:space="0" w:color="auto"/>
                        <w:bottom w:val="none" w:sz="0" w:space="0" w:color="auto"/>
                        <w:right w:val="none" w:sz="0" w:space="0" w:color="auto"/>
                      </w:divBdr>
                      <w:divsChild>
                        <w:div w:id="177112410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401292004">
                              <w:marLeft w:val="-375"/>
                              <w:marRight w:val="0"/>
                              <w:marTop w:val="0"/>
                              <w:marBottom w:val="150"/>
                              <w:divBdr>
                                <w:top w:val="none" w:sz="0" w:space="0" w:color="auto"/>
                                <w:left w:val="none" w:sz="0" w:space="0" w:color="auto"/>
                                <w:bottom w:val="none" w:sz="0" w:space="0" w:color="auto"/>
                                <w:right w:val="none" w:sz="0" w:space="0" w:color="auto"/>
                              </w:divBdr>
                            </w:div>
                            <w:div w:id="524952532">
                              <w:marLeft w:val="0"/>
                              <w:marRight w:val="0"/>
                              <w:marTop w:val="75"/>
                              <w:marBottom w:val="225"/>
                              <w:divBdr>
                                <w:top w:val="none" w:sz="0" w:space="0" w:color="auto"/>
                                <w:left w:val="none" w:sz="0" w:space="0" w:color="auto"/>
                                <w:bottom w:val="none" w:sz="0" w:space="0" w:color="auto"/>
                                <w:right w:val="none" w:sz="0" w:space="0" w:color="auto"/>
                              </w:divBdr>
                            </w:div>
                            <w:div w:id="5119489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24291938">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491292806">
      <w:bodyDiv w:val="1"/>
      <w:marLeft w:val="0"/>
      <w:marRight w:val="0"/>
      <w:marTop w:val="0"/>
      <w:marBottom w:val="0"/>
      <w:divBdr>
        <w:top w:val="none" w:sz="0" w:space="0" w:color="auto"/>
        <w:left w:val="none" w:sz="0" w:space="0" w:color="auto"/>
        <w:bottom w:val="none" w:sz="0" w:space="0" w:color="auto"/>
        <w:right w:val="none" w:sz="0" w:space="0" w:color="auto"/>
      </w:divBdr>
      <w:divsChild>
        <w:div w:id="1964461578">
          <w:marLeft w:val="0"/>
          <w:marRight w:val="0"/>
          <w:marTop w:val="0"/>
          <w:marBottom w:val="180"/>
          <w:divBdr>
            <w:top w:val="none" w:sz="0" w:space="0" w:color="auto"/>
            <w:left w:val="none" w:sz="0" w:space="0" w:color="auto"/>
            <w:bottom w:val="none" w:sz="0" w:space="0" w:color="auto"/>
            <w:right w:val="none" w:sz="0" w:space="0" w:color="auto"/>
          </w:divBdr>
        </w:div>
        <w:div w:id="526868806">
          <w:marLeft w:val="0"/>
          <w:marRight w:val="0"/>
          <w:marTop w:val="0"/>
          <w:marBottom w:val="1800"/>
          <w:divBdr>
            <w:top w:val="none" w:sz="0" w:space="0" w:color="auto"/>
            <w:left w:val="none" w:sz="0" w:space="0" w:color="auto"/>
            <w:bottom w:val="none" w:sz="0" w:space="0" w:color="auto"/>
            <w:right w:val="none" w:sz="0" w:space="0" w:color="auto"/>
          </w:divBdr>
          <w:divsChild>
            <w:div w:id="59135773">
              <w:marLeft w:val="375"/>
              <w:marRight w:val="375"/>
              <w:marTop w:val="0"/>
              <w:marBottom w:val="225"/>
              <w:divBdr>
                <w:top w:val="dashed" w:sz="6" w:space="11" w:color="CECECE"/>
                <w:left w:val="dashed" w:sz="6" w:space="19" w:color="CECECE"/>
                <w:bottom w:val="dashed" w:sz="6" w:space="11" w:color="CECECE"/>
                <w:right w:val="dashed" w:sz="6" w:space="11" w:color="CECECE"/>
              </w:divBdr>
            </w:div>
            <w:div w:id="908804745">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1289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99881">
      <w:bodyDiv w:val="1"/>
      <w:marLeft w:val="0"/>
      <w:marRight w:val="0"/>
      <w:marTop w:val="0"/>
      <w:marBottom w:val="0"/>
      <w:divBdr>
        <w:top w:val="none" w:sz="0" w:space="0" w:color="auto"/>
        <w:left w:val="none" w:sz="0" w:space="0" w:color="auto"/>
        <w:bottom w:val="none" w:sz="0" w:space="0" w:color="auto"/>
        <w:right w:val="none" w:sz="0" w:space="0" w:color="auto"/>
      </w:divBdr>
      <w:divsChild>
        <w:div w:id="442652899">
          <w:marLeft w:val="0"/>
          <w:marRight w:val="0"/>
          <w:marTop w:val="0"/>
          <w:marBottom w:val="180"/>
          <w:divBdr>
            <w:top w:val="none" w:sz="0" w:space="0" w:color="auto"/>
            <w:left w:val="none" w:sz="0" w:space="0" w:color="auto"/>
            <w:bottom w:val="none" w:sz="0" w:space="0" w:color="auto"/>
            <w:right w:val="none" w:sz="0" w:space="0" w:color="auto"/>
          </w:divBdr>
        </w:div>
        <w:div w:id="940642314">
          <w:marLeft w:val="0"/>
          <w:marRight w:val="0"/>
          <w:marTop w:val="0"/>
          <w:marBottom w:val="1800"/>
          <w:divBdr>
            <w:top w:val="none" w:sz="0" w:space="0" w:color="auto"/>
            <w:left w:val="none" w:sz="0" w:space="0" w:color="auto"/>
            <w:bottom w:val="none" w:sz="0" w:space="0" w:color="auto"/>
            <w:right w:val="none" w:sz="0" w:space="0" w:color="auto"/>
          </w:divBdr>
          <w:divsChild>
            <w:div w:id="400951673">
              <w:marLeft w:val="375"/>
              <w:marRight w:val="375"/>
              <w:marTop w:val="0"/>
              <w:marBottom w:val="225"/>
              <w:divBdr>
                <w:top w:val="dashed" w:sz="6" w:space="11" w:color="CECECE"/>
                <w:left w:val="dashed" w:sz="6" w:space="19" w:color="CECECE"/>
                <w:bottom w:val="dashed" w:sz="6" w:space="11" w:color="CECECE"/>
                <w:right w:val="dashed" w:sz="6" w:space="11" w:color="CECECE"/>
              </w:divBdr>
            </w:div>
            <w:div w:id="8919881">
              <w:marLeft w:val="375"/>
              <w:marRight w:val="375"/>
              <w:marTop w:val="0"/>
              <w:marBottom w:val="225"/>
              <w:divBdr>
                <w:top w:val="dashed" w:sz="6" w:space="11" w:color="CECECE"/>
                <w:left w:val="dashed" w:sz="6" w:space="19" w:color="CECECE"/>
                <w:bottom w:val="dashed" w:sz="6" w:space="11" w:color="CECECE"/>
                <w:right w:val="dashed" w:sz="6" w:space="11" w:color="CECECE"/>
              </w:divBdr>
            </w:div>
            <w:div w:id="1055158221">
              <w:marLeft w:val="375"/>
              <w:marRight w:val="375"/>
              <w:marTop w:val="0"/>
              <w:marBottom w:val="225"/>
              <w:divBdr>
                <w:top w:val="none" w:sz="0" w:space="0" w:color="auto"/>
                <w:left w:val="none" w:sz="0" w:space="0" w:color="auto"/>
                <w:bottom w:val="none" w:sz="0" w:space="0" w:color="auto"/>
                <w:right w:val="none" w:sz="0" w:space="0" w:color="auto"/>
              </w:divBdr>
              <w:divsChild>
                <w:div w:id="1557935453">
                  <w:marLeft w:val="0"/>
                  <w:marRight w:val="0"/>
                  <w:marTop w:val="0"/>
                  <w:marBottom w:val="0"/>
                  <w:divBdr>
                    <w:top w:val="none" w:sz="0" w:space="0" w:color="auto"/>
                    <w:left w:val="none" w:sz="0" w:space="0" w:color="auto"/>
                    <w:bottom w:val="none" w:sz="0" w:space="0" w:color="auto"/>
                    <w:right w:val="none" w:sz="0" w:space="0" w:color="auto"/>
                  </w:divBdr>
                  <w:divsChild>
                    <w:div w:id="1666739734">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93156063">
                          <w:marLeft w:val="-375"/>
                          <w:marRight w:val="0"/>
                          <w:marTop w:val="0"/>
                          <w:marBottom w:val="150"/>
                          <w:divBdr>
                            <w:top w:val="none" w:sz="0" w:space="0" w:color="auto"/>
                            <w:left w:val="none" w:sz="0" w:space="0" w:color="auto"/>
                            <w:bottom w:val="none" w:sz="0" w:space="0" w:color="auto"/>
                            <w:right w:val="none" w:sz="0" w:space="0" w:color="auto"/>
                          </w:divBdr>
                        </w:div>
                        <w:div w:id="1017196630">
                          <w:marLeft w:val="0"/>
                          <w:marRight w:val="0"/>
                          <w:marTop w:val="75"/>
                          <w:marBottom w:val="225"/>
                          <w:divBdr>
                            <w:top w:val="none" w:sz="0" w:space="0" w:color="auto"/>
                            <w:left w:val="none" w:sz="0" w:space="0" w:color="auto"/>
                            <w:bottom w:val="none" w:sz="0" w:space="0" w:color="auto"/>
                            <w:right w:val="none" w:sz="0" w:space="0" w:color="auto"/>
                          </w:divBdr>
                        </w:div>
                        <w:div w:id="172879419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35043948">
              <w:marLeft w:val="375"/>
              <w:marRight w:val="375"/>
              <w:marTop w:val="0"/>
              <w:marBottom w:val="225"/>
              <w:divBdr>
                <w:top w:val="none" w:sz="0" w:space="0" w:color="auto"/>
                <w:left w:val="none" w:sz="0" w:space="0" w:color="auto"/>
                <w:bottom w:val="none" w:sz="0" w:space="0" w:color="auto"/>
                <w:right w:val="none" w:sz="0" w:space="0" w:color="auto"/>
              </w:divBdr>
              <w:divsChild>
                <w:div w:id="674040788">
                  <w:marLeft w:val="0"/>
                  <w:marRight w:val="0"/>
                  <w:marTop w:val="0"/>
                  <w:marBottom w:val="0"/>
                  <w:divBdr>
                    <w:top w:val="none" w:sz="0" w:space="0" w:color="auto"/>
                    <w:left w:val="none" w:sz="0" w:space="0" w:color="auto"/>
                    <w:bottom w:val="none" w:sz="0" w:space="0" w:color="auto"/>
                    <w:right w:val="none" w:sz="0" w:space="0" w:color="auto"/>
                  </w:divBdr>
                  <w:divsChild>
                    <w:div w:id="160341691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691491016">
                          <w:marLeft w:val="-375"/>
                          <w:marRight w:val="0"/>
                          <w:marTop w:val="0"/>
                          <w:marBottom w:val="150"/>
                          <w:divBdr>
                            <w:top w:val="none" w:sz="0" w:space="0" w:color="auto"/>
                            <w:left w:val="none" w:sz="0" w:space="0" w:color="auto"/>
                            <w:bottom w:val="none" w:sz="0" w:space="0" w:color="auto"/>
                            <w:right w:val="none" w:sz="0" w:space="0" w:color="auto"/>
                          </w:divBdr>
                        </w:div>
                        <w:div w:id="878011811">
                          <w:marLeft w:val="0"/>
                          <w:marRight w:val="0"/>
                          <w:marTop w:val="75"/>
                          <w:marBottom w:val="225"/>
                          <w:divBdr>
                            <w:top w:val="none" w:sz="0" w:space="0" w:color="auto"/>
                            <w:left w:val="none" w:sz="0" w:space="0" w:color="auto"/>
                            <w:bottom w:val="none" w:sz="0" w:space="0" w:color="auto"/>
                            <w:right w:val="none" w:sz="0" w:space="0" w:color="auto"/>
                          </w:divBdr>
                        </w:div>
                        <w:div w:id="12987998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788043431">
      <w:bodyDiv w:val="1"/>
      <w:marLeft w:val="0"/>
      <w:marRight w:val="0"/>
      <w:marTop w:val="0"/>
      <w:marBottom w:val="0"/>
      <w:divBdr>
        <w:top w:val="none" w:sz="0" w:space="0" w:color="auto"/>
        <w:left w:val="none" w:sz="0" w:space="0" w:color="auto"/>
        <w:bottom w:val="none" w:sz="0" w:space="0" w:color="auto"/>
        <w:right w:val="none" w:sz="0" w:space="0" w:color="auto"/>
      </w:divBdr>
      <w:divsChild>
        <w:div w:id="1236355924">
          <w:marLeft w:val="0"/>
          <w:marRight w:val="0"/>
          <w:marTop w:val="0"/>
          <w:marBottom w:val="180"/>
          <w:divBdr>
            <w:top w:val="none" w:sz="0" w:space="0" w:color="auto"/>
            <w:left w:val="none" w:sz="0" w:space="0" w:color="auto"/>
            <w:bottom w:val="none" w:sz="0" w:space="0" w:color="auto"/>
            <w:right w:val="none" w:sz="0" w:space="0" w:color="auto"/>
          </w:divBdr>
        </w:div>
        <w:div w:id="1758399458">
          <w:marLeft w:val="0"/>
          <w:marRight w:val="0"/>
          <w:marTop w:val="0"/>
          <w:marBottom w:val="1800"/>
          <w:divBdr>
            <w:top w:val="none" w:sz="0" w:space="0" w:color="auto"/>
            <w:left w:val="none" w:sz="0" w:space="0" w:color="auto"/>
            <w:bottom w:val="none" w:sz="0" w:space="0" w:color="auto"/>
            <w:right w:val="none" w:sz="0" w:space="0" w:color="auto"/>
          </w:divBdr>
          <w:divsChild>
            <w:div w:id="375588967">
              <w:marLeft w:val="375"/>
              <w:marRight w:val="375"/>
              <w:marTop w:val="0"/>
              <w:marBottom w:val="225"/>
              <w:divBdr>
                <w:top w:val="none" w:sz="0" w:space="0" w:color="auto"/>
                <w:left w:val="none" w:sz="0" w:space="0" w:color="auto"/>
                <w:bottom w:val="none" w:sz="0" w:space="0" w:color="auto"/>
                <w:right w:val="none" w:sz="0" w:space="0" w:color="auto"/>
              </w:divBdr>
              <w:divsChild>
                <w:div w:id="247614600">
                  <w:marLeft w:val="0"/>
                  <w:marRight w:val="0"/>
                  <w:marTop w:val="0"/>
                  <w:marBottom w:val="0"/>
                  <w:divBdr>
                    <w:top w:val="none" w:sz="0" w:space="0" w:color="auto"/>
                    <w:left w:val="none" w:sz="0" w:space="0" w:color="auto"/>
                    <w:bottom w:val="none" w:sz="0" w:space="0" w:color="auto"/>
                    <w:right w:val="none" w:sz="0" w:space="0" w:color="auto"/>
                  </w:divBdr>
                  <w:divsChild>
                    <w:div w:id="16051442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105684865">
                          <w:marLeft w:val="-375"/>
                          <w:marRight w:val="0"/>
                          <w:marTop w:val="0"/>
                          <w:marBottom w:val="150"/>
                          <w:divBdr>
                            <w:top w:val="none" w:sz="0" w:space="0" w:color="auto"/>
                            <w:left w:val="none" w:sz="0" w:space="0" w:color="auto"/>
                            <w:bottom w:val="none" w:sz="0" w:space="0" w:color="auto"/>
                            <w:right w:val="none" w:sz="0" w:space="0" w:color="auto"/>
                          </w:divBdr>
                        </w:div>
                        <w:div w:id="80569966">
                          <w:marLeft w:val="0"/>
                          <w:marRight w:val="0"/>
                          <w:marTop w:val="75"/>
                          <w:marBottom w:val="225"/>
                          <w:divBdr>
                            <w:top w:val="none" w:sz="0" w:space="0" w:color="auto"/>
                            <w:left w:val="none" w:sz="0" w:space="0" w:color="auto"/>
                            <w:bottom w:val="none" w:sz="0" w:space="0" w:color="auto"/>
                            <w:right w:val="none" w:sz="0" w:space="0" w:color="auto"/>
                          </w:divBdr>
                        </w:div>
                        <w:div w:id="49800901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822383961">
      <w:bodyDiv w:val="1"/>
      <w:marLeft w:val="0"/>
      <w:marRight w:val="0"/>
      <w:marTop w:val="0"/>
      <w:marBottom w:val="0"/>
      <w:divBdr>
        <w:top w:val="none" w:sz="0" w:space="0" w:color="auto"/>
        <w:left w:val="none" w:sz="0" w:space="0" w:color="auto"/>
        <w:bottom w:val="none" w:sz="0" w:space="0" w:color="auto"/>
        <w:right w:val="none" w:sz="0" w:space="0" w:color="auto"/>
      </w:divBdr>
      <w:divsChild>
        <w:div w:id="179009959">
          <w:marLeft w:val="0"/>
          <w:marRight w:val="0"/>
          <w:marTop w:val="0"/>
          <w:marBottom w:val="180"/>
          <w:divBdr>
            <w:top w:val="none" w:sz="0" w:space="0" w:color="auto"/>
            <w:left w:val="none" w:sz="0" w:space="0" w:color="auto"/>
            <w:bottom w:val="none" w:sz="0" w:space="0" w:color="auto"/>
            <w:right w:val="none" w:sz="0" w:space="0" w:color="auto"/>
          </w:divBdr>
        </w:div>
        <w:div w:id="436219386">
          <w:marLeft w:val="0"/>
          <w:marRight w:val="0"/>
          <w:marTop w:val="0"/>
          <w:marBottom w:val="1800"/>
          <w:divBdr>
            <w:top w:val="none" w:sz="0" w:space="0" w:color="auto"/>
            <w:left w:val="none" w:sz="0" w:space="0" w:color="auto"/>
            <w:bottom w:val="none" w:sz="0" w:space="0" w:color="auto"/>
            <w:right w:val="none" w:sz="0" w:space="0" w:color="auto"/>
          </w:divBdr>
        </w:div>
      </w:divsChild>
    </w:div>
    <w:div w:id="1863587652">
      <w:bodyDiv w:val="1"/>
      <w:marLeft w:val="0"/>
      <w:marRight w:val="0"/>
      <w:marTop w:val="0"/>
      <w:marBottom w:val="0"/>
      <w:divBdr>
        <w:top w:val="none" w:sz="0" w:space="0" w:color="auto"/>
        <w:left w:val="none" w:sz="0" w:space="0" w:color="auto"/>
        <w:bottom w:val="none" w:sz="0" w:space="0" w:color="auto"/>
        <w:right w:val="none" w:sz="0" w:space="0" w:color="auto"/>
      </w:divBdr>
      <w:divsChild>
        <w:div w:id="1616214541">
          <w:marLeft w:val="0"/>
          <w:marRight w:val="0"/>
          <w:marTop w:val="0"/>
          <w:marBottom w:val="180"/>
          <w:divBdr>
            <w:top w:val="none" w:sz="0" w:space="0" w:color="auto"/>
            <w:left w:val="none" w:sz="0" w:space="0" w:color="auto"/>
            <w:bottom w:val="none" w:sz="0" w:space="0" w:color="auto"/>
            <w:right w:val="none" w:sz="0" w:space="0" w:color="auto"/>
          </w:divBdr>
        </w:div>
        <w:div w:id="817579322">
          <w:marLeft w:val="0"/>
          <w:marRight w:val="0"/>
          <w:marTop w:val="0"/>
          <w:marBottom w:val="1800"/>
          <w:divBdr>
            <w:top w:val="none" w:sz="0" w:space="0" w:color="auto"/>
            <w:left w:val="none" w:sz="0" w:space="0" w:color="auto"/>
            <w:bottom w:val="none" w:sz="0" w:space="0" w:color="auto"/>
            <w:right w:val="none" w:sz="0" w:space="0" w:color="auto"/>
          </w:divBdr>
          <w:divsChild>
            <w:div w:id="1839347176">
              <w:marLeft w:val="375"/>
              <w:marRight w:val="375"/>
              <w:marTop w:val="0"/>
              <w:marBottom w:val="225"/>
              <w:divBdr>
                <w:top w:val="none" w:sz="0" w:space="4" w:color="auto"/>
                <w:left w:val="single" w:sz="48" w:space="11" w:color="F5F5F5"/>
                <w:bottom w:val="none" w:sz="0" w:space="11" w:color="auto"/>
                <w:right w:val="none" w:sz="0" w:space="11" w:color="auto"/>
              </w:divBdr>
              <w:divsChild>
                <w:div w:id="1715541892">
                  <w:marLeft w:val="-375"/>
                  <w:marRight w:val="0"/>
                  <w:marTop w:val="0"/>
                  <w:marBottom w:val="240"/>
                  <w:divBdr>
                    <w:top w:val="none" w:sz="0" w:space="0" w:color="auto"/>
                    <w:left w:val="none" w:sz="0" w:space="0" w:color="auto"/>
                    <w:bottom w:val="none" w:sz="0" w:space="0" w:color="auto"/>
                    <w:right w:val="none" w:sz="0" w:space="0" w:color="auto"/>
                  </w:divBdr>
                </w:div>
                <w:div w:id="58748582">
                  <w:marLeft w:val="0"/>
                  <w:marRight w:val="0"/>
                  <w:marTop w:val="0"/>
                  <w:marBottom w:val="0"/>
                  <w:divBdr>
                    <w:top w:val="none" w:sz="0" w:space="0" w:color="auto"/>
                    <w:left w:val="none" w:sz="0" w:space="0" w:color="auto"/>
                    <w:bottom w:val="none" w:sz="0" w:space="0" w:color="auto"/>
                    <w:right w:val="none" w:sz="0" w:space="0" w:color="auto"/>
                  </w:divBdr>
                  <w:divsChild>
                    <w:div w:id="110319595">
                      <w:marLeft w:val="-600"/>
                      <w:marRight w:val="0"/>
                      <w:marTop w:val="150"/>
                      <w:marBottom w:val="225"/>
                      <w:divBdr>
                        <w:top w:val="none" w:sz="0" w:space="0" w:color="auto"/>
                        <w:left w:val="none" w:sz="0" w:space="0" w:color="auto"/>
                        <w:bottom w:val="none" w:sz="0" w:space="0" w:color="auto"/>
                        <w:right w:val="none" w:sz="0" w:space="0" w:color="auto"/>
                      </w:divBdr>
                      <w:divsChild>
                        <w:div w:id="80813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270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434398266">
                  <w:marLeft w:val="-375"/>
                  <w:marRight w:val="0"/>
                  <w:marTop w:val="0"/>
                  <w:marBottom w:val="240"/>
                  <w:divBdr>
                    <w:top w:val="none" w:sz="0" w:space="0" w:color="auto"/>
                    <w:left w:val="none" w:sz="0" w:space="0" w:color="auto"/>
                    <w:bottom w:val="none" w:sz="0" w:space="0" w:color="auto"/>
                    <w:right w:val="none" w:sz="0" w:space="0" w:color="auto"/>
                  </w:divBdr>
                </w:div>
                <w:div w:id="1047533368">
                  <w:marLeft w:val="0"/>
                  <w:marRight w:val="0"/>
                  <w:marTop w:val="0"/>
                  <w:marBottom w:val="0"/>
                  <w:divBdr>
                    <w:top w:val="none" w:sz="0" w:space="0" w:color="auto"/>
                    <w:left w:val="none" w:sz="0" w:space="0" w:color="auto"/>
                    <w:bottom w:val="none" w:sz="0" w:space="0" w:color="auto"/>
                    <w:right w:val="none" w:sz="0" w:space="0" w:color="auto"/>
                  </w:divBdr>
                  <w:divsChild>
                    <w:div w:id="37535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94510">
      <w:bodyDiv w:val="1"/>
      <w:marLeft w:val="0"/>
      <w:marRight w:val="0"/>
      <w:marTop w:val="0"/>
      <w:marBottom w:val="0"/>
      <w:divBdr>
        <w:top w:val="none" w:sz="0" w:space="0" w:color="auto"/>
        <w:left w:val="none" w:sz="0" w:space="0" w:color="auto"/>
        <w:bottom w:val="none" w:sz="0" w:space="0" w:color="auto"/>
        <w:right w:val="none" w:sz="0" w:space="0" w:color="auto"/>
      </w:divBdr>
      <w:divsChild>
        <w:div w:id="1173107710">
          <w:marLeft w:val="0"/>
          <w:marRight w:val="0"/>
          <w:marTop w:val="0"/>
          <w:marBottom w:val="180"/>
          <w:divBdr>
            <w:top w:val="none" w:sz="0" w:space="0" w:color="auto"/>
            <w:left w:val="none" w:sz="0" w:space="0" w:color="auto"/>
            <w:bottom w:val="none" w:sz="0" w:space="0" w:color="auto"/>
            <w:right w:val="none" w:sz="0" w:space="0" w:color="auto"/>
          </w:divBdr>
        </w:div>
        <w:div w:id="1699429556">
          <w:marLeft w:val="0"/>
          <w:marRight w:val="0"/>
          <w:marTop w:val="0"/>
          <w:marBottom w:val="1800"/>
          <w:divBdr>
            <w:top w:val="none" w:sz="0" w:space="0" w:color="auto"/>
            <w:left w:val="none" w:sz="0" w:space="0" w:color="auto"/>
            <w:bottom w:val="none" w:sz="0" w:space="0" w:color="auto"/>
            <w:right w:val="none" w:sz="0" w:space="0" w:color="auto"/>
          </w:divBdr>
        </w:div>
      </w:divsChild>
    </w:div>
    <w:div w:id="1973827288">
      <w:bodyDiv w:val="1"/>
      <w:marLeft w:val="0"/>
      <w:marRight w:val="0"/>
      <w:marTop w:val="0"/>
      <w:marBottom w:val="0"/>
      <w:divBdr>
        <w:top w:val="none" w:sz="0" w:space="0" w:color="auto"/>
        <w:left w:val="none" w:sz="0" w:space="0" w:color="auto"/>
        <w:bottom w:val="none" w:sz="0" w:space="0" w:color="auto"/>
        <w:right w:val="none" w:sz="0" w:space="0" w:color="auto"/>
      </w:divBdr>
      <w:divsChild>
        <w:div w:id="1942444724">
          <w:marLeft w:val="0"/>
          <w:marRight w:val="0"/>
          <w:marTop w:val="0"/>
          <w:marBottom w:val="180"/>
          <w:divBdr>
            <w:top w:val="none" w:sz="0" w:space="0" w:color="auto"/>
            <w:left w:val="none" w:sz="0" w:space="0" w:color="auto"/>
            <w:bottom w:val="none" w:sz="0" w:space="0" w:color="auto"/>
            <w:right w:val="none" w:sz="0" w:space="0" w:color="auto"/>
          </w:divBdr>
        </w:div>
        <w:div w:id="878779580">
          <w:marLeft w:val="0"/>
          <w:marRight w:val="0"/>
          <w:marTop w:val="0"/>
          <w:marBottom w:val="1800"/>
          <w:divBdr>
            <w:top w:val="none" w:sz="0" w:space="0" w:color="auto"/>
            <w:left w:val="none" w:sz="0" w:space="0" w:color="auto"/>
            <w:bottom w:val="none" w:sz="0" w:space="0" w:color="auto"/>
            <w:right w:val="none" w:sz="0" w:space="0" w:color="auto"/>
          </w:divBdr>
          <w:divsChild>
            <w:div w:id="1640845961">
              <w:marLeft w:val="975"/>
              <w:marRight w:val="975"/>
              <w:marTop w:val="0"/>
              <w:marBottom w:val="225"/>
              <w:divBdr>
                <w:top w:val="none" w:sz="0" w:space="0" w:color="auto"/>
                <w:left w:val="none" w:sz="0" w:space="0" w:color="auto"/>
                <w:bottom w:val="none" w:sz="0" w:space="0" w:color="auto"/>
                <w:right w:val="none" w:sz="0" w:space="0" w:color="auto"/>
              </w:divBdr>
              <w:divsChild>
                <w:div w:id="766779072">
                  <w:marLeft w:val="375"/>
                  <w:marRight w:val="375"/>
                  <w:marTop w:val="0"/>
                  <w:marBottom w:val="225"/>
                  <w:divBdr>
                    <w:top w:val="none" w:sz="0" w:space="4" w:color="auto"/>
                    <w:left w:val="single" w:sz="48" w:space="11" w:color="F5F5F5"/>
                    <w:bottom w:val="none" w:sz="0" w:space="11" w:color="auto"/>
                    <w:right w:val="none" w:sz="0" w:space="11" w:color="auto"/>
                  </w:divBdr>
                  <w:divsChild>
                    <w:div w:id="1039555028">
                      <w:marLeft w:val="-375"/>
                      <w:marRight w:val="0"/>
                      <w:marTop w:val="0"/>
                      <w:marBottom w:val="240"/>
                      <w:divBdr>
                        <w:top w:val="none" w:sz="0" w:space="0" w:color="auto"/>
                        <w:left w:val="none" w:sz="0" w:space="0" w:color="auto"/>
                        <w:bottom w:val="none" w:sz="0" w:space="0" w:color="auto"/>
                        <w:right w:val="none" w:sz="0" w:space="0" w:color="auto"/>
                      </w:divBdr>
                    </w:div>
                    <w:div w:id="1186820739">
                      <w:marLeft w:val="0"/>
                      <w:marRight w:val="0"/>
                      <w:marTop w:val="0"/>
                      <w:marBottom w:val="0"/>
                      <w:divBdr>
                        <w:top w:val="none" w:sz="0" w:space="0" w:color="auto"/>
                        <w:left w:val="none" w:sz="0" w:space="0" w:color="auto"/>
                        <w:bottom w:val="none" w:sz="0" w:space="0" w:color="auto"/>
                        <w:right w:val="none" w:sz="0" w:space="0" w:color="auto"/>
                      </w:divBdr>
                    </w:div>
                  </w:divsChild>
                </w:div>
                <w:div w:id="895094475">
                  <w:marLeft w:val="375"/>
                  <w:marRight w:val="375"/>
                  <w:marTop w:val="0"/>
                  <w:marBottom w:val="225"/>
                  <w:divBdr>
                    <w:top w:val="dashed" w:sz="6" w:space="11" w:color="CECECE"/>
                    <w:left w:val="dashed" w:sz="6" w:space="19" w:color="CECECE"/>
                    <w:bottom w:val="dashed" w:sz="6" w:space="11" w:color="CECECE"/>
                    <w:right w:val="dashed" w:sz="6" w:space="11" w:color="CECECE"/>
                  </w:divBdr>
                </w:div>
                <w:div w:id="532885049">
                  <w:marLeft w:val="375"/>
                  <w:marRight w:val="375"/>
                  <w:marTop w:val="0"/>
                  <w:marBottom w:val="225"/>
                  <w:divBdr>
                    <w:top w:val="dashed" w:sz="6" w:space="11" w:color="CECECE"/>
                    <w:left w:val="dashed" w:sz="6" w:space="19" w:color="CECECE"/>
                    <w:bottom w:val="dashed" w:sz="6" w:space="11" w:color="CECECE"/>
                    <w:right w:val="dashed" w:sz="6" w:space="11" w:color="CECECE"/>
                  </w:divBdr>
                </w:div>
              </w:divsChild>
            </w:div>
            <w:div w:id="1723289284">
              <w:marLeft w:val="975"/>
              <w:marRight w:val="975"/>
              <w:marTop w:val="0"/>
              <w:marBottom w:val="225"/>
              <w:divBdr>
                <w:top w:val="none" w:sz="0" w:space="0" w:color="auto"/>
                <w:left w:val="none" w:sz="0" w:space="0" w:color="auto"/>
                <w:bottom w:val="none" w:sz="0" w:space="0" w:color="auto"/>
                <w:right w:val="none" w:sz="0" w:space="0" w:color="auto"/>
              </w:divBdr>
              <w:divsChild>
                <w:div w:id="1730223833">
                  <w:marLeft w:val="375"/>
                  <w:marRight w:val="375"/>
                  <w:marTop w:val="0"/>
                  <w:marBottom w:val="225"/>
                  <w:divBdr>
                    <w:top w:val="none" w:sz="0" w:space="4" w:color="auto"/>
                    <w:left w:val="single" w:sz="48" w:space="11" w:color="F5F5F5"/>
                    <w:bottom w:val="none" w:sz="0" w:space="11" w:color="auto"/>
                    <w:right w:val="none" w:sz="0" w:space="11" w:color="auto"/>
                  </w:divBdr>
                  <w:divsChild>
                    <w:div w:id="1763337764">
                      <w:marLeft w:val="-375"/>
                      <w:marRight w:val="0"/>
                      <w:marTop w:val="0"/>
                      <w:marBottom w:val="240"/>
                      <w:divBdr>
                        <w:top w:val="none" w:sz="0" w:space="0" w:color="auto"/>
                        <w:left w:val="none" w:sz="0" w:space="0" w:color="auto"/>
                        <w:bottom w:val="none" w:sz="0" w:space="0" w:color="auto"/>
                        <w:right w:val="none" w:sz="0" w:space="0" w:color="auto"/>
                      </w:divBdr>
                    </w:div>
                    <w:div w:id="1887837195">
                      <w:marLeft w:val="0"/>
                      <w:marRight w:val="0"/>
                      <w:marTop w:val="0"/>
                      <w:marBottom w:val="0"/>
                      <w:divBdr>
                        <w:top w:val="none" w:sz="0" w:space="0" w:color="auto"/>
                        <w:left w:val="none" w:sz="0" w:space="0" w:color="auto"/>
                        <w:bottom w:val="none" w:sz="0" w:space="0" w:color="auto"/>
                        <w:right w:val="none" w:sz="0" w:space="0" w:color="auto"/>
                      </w:divBdr>
                    </w:div>
                  </w:divsChild>
                </w:div>
                <w:div w:id="2002653825">
                  <w:marLeft w:val="375"/>
                  <w:marRight w:val="375"/>
                  <w:marTop w:val="0"/>
                  <w:marBottom w:val="225"/>
                  <w:divBdr>
                    <w:top w:val="none" w:sz="0" w:space="0" w:color="auto"/>
                    <w:left w:val="none" w:sz="0" w:space="0" w:color="auto"/>
                    <w:bottom w:val="none" w:sz="0" w:space="0" w:color="auto"/>
                    <w:right w:val="none" w:sz="0" w:space="0" w:color="auto"/>
                  </w:divBdr>
                  <w:divsChild>
                    <w:div w:id="232669081">
                      <w:marLeft w:val="0"/>
                      <w:marRight w:val="0"/>
                      <w:marTop w:val="0"/>
                      <w:marBottom w:val="0"/>
                      <w:divBdr>
                        <w:top w:val="none" w:sz="0" w:space="0" w:color="auto"/>
                        <w:left w:val="none" w:sz="0" w:space="0" w:color="auto"/>
                        <w:bottom w:val="none" w:sz="0" w:space="0" w:color="auto"/>
                        <w:right w:val="none" w:sz="0" w:space="0" w:color="auto"/>
                      </w:divBdr>
                      <w:divsChild>
                        <w:div w:id="1836728191">
                          <w:marLeft w:val="0"/>
                          <w:marRight w:val="0"/>
                          <w:marTop w:val="0"/>
                          <w:marBottom w:val="0"/>
                          <w:divBdr>
                            <w:top w:val="single" w:sz="48" w:space="4" w:color="F2F2F2"/>
                            <w:left w:val="single" w:sz="48" w:space="11" w:color="F2F2F2"/>
                            <w:bottom w:val="single" w:sz="48" w:space="11" w:color="F2F2F2"/>
                            <w:right w:val="single" w:sz="48" w:space="11" w:color="F2F2F2"/>
                          </w:divBdr>
                          <w:divsChild>
                            <w:div w:id="2085032954">
                              <w:marLeft w:val="-375"/>
                              <w:marRight w:val="0"/>
                              <w:marTop w:val="0"/>
                              <w:marBottom w:val="150"/>
                              <w:divBdr>
                                <w:top w:val="none" w:sz="0" w:space="0" w:color="auto"/>
                                <w:left w:val="none" w:sz="0" w:space="0" w:color="auto"/>
                                <w:bottom w:val="none" w:sz="0" w:space="0" w:color="auto"/>
                                <w:right w:val="none" w:sz="0" w:space="0" w:color="auto"/>
                              </w:divBdr>
                            </w:div>
                            <w:div w:id="1574196233">
                              <w:marLeft w:val="0"/>
                              <w:marRight w:val="0"/>
                              <w:marTop w:val="75"/>
                              <w:marBottom w:val="225"/>
                              <w:divBdr>
                                <w:top w:val="none" w:sz="0" w:space="0" w:color="auto"/>
                                <w:left w:val="none" w:sz="0" w:space="0" w:color="auto"/>
                                <w:bottom w:val="none" w:sz="0" w:space="0" w:color="auto"/>
                                <w:right w:val="none" w:sz="0" w:space="0" w:color="auto"/>
                              </w:divBdr>
                            </w:div>
                            <w:div w:id="289929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2005814976">
              <w:marLeft w:val="975"/>
              <w:marRight w:val="975"/>
              <w:marTop w:val="0"/>
              <w:marBottom w:val="225"/>
              <w:divBdr>
                <w:top w:val="none" w:sz="0" w:space="0" w:color="auto"/>
                <w:left w:val="none" w:sz="0" w:space="0" w:color="auto"/>
                <w:bottom w:val="none" w:sz="0" w:space="0" w:color="auto"/>
                <w:right w:val="none" w:sz="0" w:space="0" w:color="auto"/>
              </w:divBdr>
              <w:divsChild>
                <w:div w:id="1737703678">
                  <w:marLeft w:val="375"/>
                  <w:marRight w:val="375"/>
                  <w:marTop w:val="0"/>
                  <w:marBottom w:val="225"/>
                  <w:divBdr>
                    <w:top w:val="none" w:sz="0" w:space="4" w:color="auto"/>
                    <w:left w:val="single" w:sz="48" w:space="11" w:color="F5F5F5"/>
                    <w:bottom w:val="none" w:sz="0" w:space="11" w:color="auto"/>
                    <w:right w:val="none" w:sz="0" w:space="11" w:color="auto"/>
                  </w:divBdr>
                  <w:divsChild>
                    <w:div w:id="1542553190">
                      <w:marLeft w:val="-375"/>
                      <w:marRight w:val="0"/>
                      <w:marTop w:val="0"/>
                      <w:marBottom w:val="240"/>
                      <w:divBdr>
                        <w:top w:val="none" w:sz="0" w:space="0" w:color="auto"/>
                        <w:left w:val="none" w:sz="0" w:space="0" w:color="auto"/>
                        <w:bottom w:val="none" w:sz="0" w:space="0" w:color="auto"/>
                        <w:right w:val="none" w:sz="0" w:space="0" w:color="auto"/>
                      </w:divBdr>
                    </w:div>
                    <w:div w:id="129331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320133">
      <w:bodyDiv w:val="1"/>
      <w:marLeft w:val="0"/>
      <w:marRight w:val="0"/>
      <w:marTop w:val="0"/>
      <w:marBottom w:val="0"/>
      <w:divBdr>
        <w:top w:val="none" w:sz="0" w:space="0" w:color="auto"/>
        <w:left w:val="none" w:sz="0" w:space="0" w:color="auto"/>
        <w:bottom w:val="none" w:sz="0" w:space="0" w:color="auto"/>
        <w:right w:val="none" w:sz="0" w:space="0" w:color="auto"/>
      </w:divBdr>
      <w:divsChild>
        <w:div w:id="1660380604">
          <w:marLeft w:val="0"/>
          <w:marRight w:val="0"/>
          <w:marTop w:val="0"/>
          <w:marBottom w:val="180"/>
          <w:divBdr>
            <w:top w:val="none" w:sz="0" w:space="0" w:color="auto"/>
            <w:left w:val="none" w:sz="0" w:space="0" w:color="auto"/>
            <w:bottom w:val="none" w:sz="0" w:space="0" w:color="auto"/>
            <w:right w:val="none" w:sz="0" w:space="0" w:color="auto"/>
          </w:divBdr>
        </w:div>
        <w:div w:id="638001928">
          <w:marLeft w:val="0"/>
          <w:marRight w:val="0"/>
          <w:marTop w:val="0"/>
          <w:marBottom w:val="1800"/>
          <w:divBdr>
            <w:top w:val="none" w:sz="0" w:space="0" w:color="auto"/>
            <w:left w:val="none" w:sz="0" w:space="0" w:color="auto"/>
            <w:bottom w:val="none" w:sz="0" w:space="0" w:color="auto"/>
            <w:right w:val="none" w:sz="0" w:space="0" w:color="auto"/>
          </w:divBdr>
          <w:divsChild>
            <w:div w:id="380373578">
              <w:marLeft w:val="375"/>
              <w:marRight w:val="375"/>
              <w:marTop w:val="0"/>
              <w:marBottom w:val="225"/>
              <w:divBdr>
                <w:top w:val="none" w:sz="0" w:space="4" w:color="auto"/>
                <w:left w:val="single" w:sz="48" w:space="11" w:color="F5F5F5"/>
                <w:bottom w:val="none" w:sz="0" w:space="11" w:color="auto"/>
                <w:right w:val="none" w:sz="0" w:space="11" w:color="auto"/>
              </w:divBdr>
              <w:divsChild>
                <w:div w:id="2000503660">
                  <w:marLeft w:val="-375"/>
                  <w:marRight w:val="0"/>
                  <w:marTop w:val="0"/>
                  <w:marBottom w:val="240"/>
                  <w:divBdr>
                    <w:top w:val="none" w:sz="0" w:space="0" w:color="auto"/>
                    <w:left w:val="none" w:sz="0" w:space="0" w:color="auto"/>
                    <w:bottom w:val="none" w:sz="0" w:space="0" w:color="auto"/>
                    <w:right w:val="none" w:sz="0" w:space="0" w:color="auto"/>
                  </w:divBdr>
                </w:div>
                <w:div w:id="20012202">
                  <w:marLeft w:val="0"/>
                  <w:marRight w:val="0"/>
                  <w:marTop w:val="0"/>
                  <w:marBottom w:val="0"/>
                  <w:divBdr>
                    <w:top w:val="none" w:sz="0" w:space="0" w:color="auto"/>
                    <w:left w:val="none" w:sz="0" w:space="0" w:color="auto"/>
                    <w:bottom w:val="none" w:sz="0" w:space="0" w:color="auto"/>
                    <w:right w:val="none" w:sz="0" w:space="0" w:color="auto"/>
                  </w:divBdr>
                </w:div>
              </w:divsChild>
            </w:div>
            <w:div w:id="705908345">
              <w:marLeft w:val="375"/>
              <w:marRight w:val="375"/>
              <w:marTop w:val="0"/>
              <w:marBottom w:val="225"/>
              <w:divBdr>
                <w:top w:val="none" w:sz="0" w:space="0" w:color="auto"/>
                <w:left w:val="none" w:sz="0" w:space="0" w:color="auto"/>
                <w:bottom w:val="none" w:sz="0" w:space="0" w:color="auto"/>
                <w:right w:val="none" w:sz="0" w:space="0" w:color="auto"/>
              </w:divBdr>
              <w:divsChild>
                <w:div w:id="1217158355">
                  <w:marLeft w:val="0"/>
                  <w:marRight w:val="0"/>
                  <w:marTop w:val="0"/>
                  <w:marBottom w:val="0"/>
                  <w:divBdr>
                    <w:top w:val="none" w:sz="0" w:space="0" w:color="auto"/>
                    <w:left w:val="none" w:sz="0" w:space="0" w:color="auto"/>
                    <w:bottom w:val="none" w:sz="0" w:space="0" w:color="auto"/>
                    <w:right w:val="none" w:sz="0" w:space="0" w:color="auto"/>
                  </w:divBdr>
                  <w:divsChild>
                    <w:div w:id="1020165200">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223642120">
                          <w:marLeft w:val="-375"/>
                          <w:marRight w:val="0"/>
                          <w:marTop w:val="0"/>
                          <w:marBottom w:val="150"/>
                          <w:divBdr>
                            <w:top w:val="none" w:sz="0" w:space="0" w:color="auto"/>
                            <w:left w:val="none" w:sz="0" w:space="0" w:color="auto"/>
                            <w:bottom w:val="none" w:sz="0" w:space="0" w:color="auto"/>
                            <w:right w:val="none" w:sz="0" w:space="0" w:color="auto"/>
                          </w:divBdr>
                        </w:div>
                        <w:div w:id="1770655414">
                          <w:marLeft w:val="0"/>
                          <w:marRight w:val="0"/>
                          <w:marTop w:val="75"/>
                          <w:marBottom w:val="225"/>
                          <w:divBdr>
                            <w:top w:val="none" w:sz="0" w:space="0" w:color="auto"/>
                            <w:left w:val="none" w:sz="0" w:space="0" w:color="auto"/>
                            <w:bottom w:val="none" w:sz="0" w:space="0" w:color="auto"/>
                            <w:right w:val="none" w:sz="0" w:space="0" w:color="auto"/>
                          </w:divBdr>
                        </w:div>
                        <w:div w:id="20513694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 TargetMode="External"/><Relationship Id="rId21" Type="http://schemas.openxmlformats.org/officeDocument/2006/relationships/hyperlink" Target="javascript://" TargetMode="External"/><Relationship Id="rId42" Type="http://schemas.openxmlformats.org/officeDocument/2006/relationships/hyperlink" Target="javascript://" TargetMode="External"/><Relationship Id="rId47" Type="http://schemas.openxmlformats.org/officeDocument/2006/relationships/hyperlink" Target="javascript://" TargetMode="External"/><Relationship Id="rId63" Type="http://schemas.openxmlformats.org/officeDocument/2006/relationships/hyperlink" Target="javascript://" TargetMode="External"/><Relationship Id="rId68" Type="http://schemas.openxmlformats.org/officeDocument/2006/relationships/hyperlink" Target="javascript://" TargetMode="External"/><Relationship Id="rId16" Type="http://schemas.openxmlformats.org/officeDocument/2006/relationships/hyperlink" Target="javascript://" TargetMode="External"/><Relationship Id="rId11" Type="http://schemas.openxmlformats.org/officeDocument/2006/relationships/hyperlink" Target="javascript://" TargetMode="External"/><Relationship Id="rId32" Type="http://schemas.openxmlformats.org/officeDocument/2006/relationships/hyperlink" Target="javascript://" TargetMode="External"/><Relationship Id="rId37" Type="http://schemas.openxmlformats.org/officeDocument/2006/relationships/hyperlink" Target="javascript://" TargetMode="External"/><Relationship Id="rId53" Type="http://schemas.openxmlformats.org/officeDocument/2006/relationships/hyperlink" Target="javascript://" TargetMode="External"/><Relationship Id="rId58" Type="http://schemas.openxmlformats.org/officeDocument/2006/relationships/hyperlink" Target="javascript://" TargetMode="External"/><Relationship Id="rId74" Type="http://schemas.openxmlformats.org/officeDocument/2006/relationships/hyperlink" Target="javascript://" TargetMode="External"/><Relationship Id="rId79" Type="http://schemas.openxmlformats.org/officeDocument/2006/relationships/hyperlink" Target="javascript://" TargetMode="External"/><Relationship Id="rId5" Type="http://schemas.openxmlformats.org/officeDocument/2006/relationships/hyperlink" Target="javascript://" TargetMode="External"/><Relationship Id="rId61" Type="http://schemas.openxmlformats.org/officeDocument/2006/relationships/hyperlink" Target="javascript://" TargetMode="External"/><Relationship Id="rId19" Type="http://schemas.openxmlformats.org/officeDocument/2006/relationships/hyperlink" Target="javascript://" TargetMode="External"/><Relationship Id="rId14" Type="http://schemas.openxmlformats.org/officeDocument/2006/relationships/hyperlink" Target="javascript://"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30" Type="http://schemas.openxmlformats.org/officeDocument/2006/relationships/hyperlink" Target="javascript://" TargetMode="External"/><Relationship Id="rId35" Type="http://schemas.openxmlformats.org/officeDocument/2006/relationships/hyperlink" Target="javascript://" TargetMode="External"/><Relationship Id="rId43" Type="http://schemas.openxmlformats.org/officeDocument/2006/relationships/hyperlink" Target="javascript://" TargetMode="External"/><Relationship Id="rId48" Type="http://schemas.openxmlformats.org/officeDocument/2006/relationships/hyperlink" Target="javascript://" TargetMode="External"/><Relationship Id="rId56" Type="http://schemas.openxmlformats.org/officeDocument/2006/relationships/hyperlink" Target="javascript://" TargetMode="External"/><Relationship Id="rId64" Type="http://schemas.openxmlformats.org/officeDocument/2006/relationships/hyperlink" Target="javascript://" TargetMode="External"/><Relationship Id="rId69" Type="http://schemas.openxmlformats.org/officeDocument/2006/relationships/hyperlink" Target="javascript://" TargetMode="External"/><Relationship Id="rId77" Type="http://schemas.openxmlformats.org/officeDocument/2006/relationships/hyperlink" Target="javascript://" TargetMode="External"/><Relationship Id="rId8" Type="http://schemas.openxmlformats.org/officeDocument/2006/relationships/image" Target="media/image1.png"/><Relationship Id="rId51" Type="http://schemas.openxmlformats.org/officeDocument/2006/relationships/hyperlink" Target="javascript://" TargetMode="External"/><Relationship Id="rId72" Type="http://schemas.openxmlformats.org/officeDocument/2006/relationships/hyperlink" Target="javascript://"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hyperlink" Target="javascript://" TargetMode="External"/><Relationship Id="rId33" Type="http://schemas.openxmlformats.org/officeDocument/2006/relationships/hyperlink" Target="javascript://" TargetMode="External"/><Relationship Id="rId38" Type="http://schemas.openxmlformats.org/officeDocument/2006/relationships/hyperlink" Target="javascript://" TargetMode="External"/><Relationship Id="rId46" Type="http://schemas.openxmlformats.org/officeDocument/2006/relationships/hyperlink" Target="javascript://" TargetMode="External"/><Relationship Id="rId59" Type="http://schemas.openxmlformats.org/officeDocument/2006/relationships/hyperlink" Target="javascript://" TargetMode="External"/><Relationship Id="rId67" Type="http://schemas.openxmlformats.org/officeDocument/2006/relationships/hyperlink" Target="javascript://" TargetMode="External"/><Relationship Id="rId20" Type="http://schemas.openxmlformats.org/officeDocument/2006/relationships/hyperlink" Target="javascript://" TargetMode="External"/><Relationship Id="rId41" Type="http://schemas.openxmlformats.org/officeDocument/2006/relationships/hyperlink" Target="javascript://" TargetMode="External"/><Relationship Id="rId54" Type="http://schemas.openxmlformats.org/officeDocument/2006/relationships/hyperlink" Target="javascript://" TargetMode="External"/><Relationship Id="rId62" Type="http://schemas.openxmlformats.org/officeDocument/2006/relationships/hyperlink" Target="javascript://" TargetMode="External"/><Relationship Id="rId70" Type="http://schemas.openxmlformats.org/officeDocument/2006/relationships/hyperlink" Target="javascript://" TargetMode="External"/><Relationship Id="rId75"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hyperlink" Target="javascript://" TargetMode="External"/><Relationship Id="rId15" Type="http://schemas.openxmlformats.org/officeDocument/2006/relationships/hyperlink" Target="javascript://"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36" Type="http://schemas.openxmlformats.org/officeDocument/2006/relationships/hyperlink" Target="javascript://" TargetMode="External"/><Relationship Id="rId49" Type="http://schemas.openxmlformats.org/officeDocument/2006/relationships/hyperlink" Target="javascript://" TargetMode="External"/><Relationship Id="rId57" Type="http://schemas.openxmlformats.org/officeDocument/2006/relationships/hyperlink" Target="javascript://" TargetMode="External"/><Relationship Id="rId10" Type="http://schemas.openxmlformats.org/officeDocument/2006/relationships/hyperlink" Target="javascript://" TargetMode="External"/><Relationship Id="rId31" Type="http://schemas.openxmlformats.org/officeDocument/2006/relationships/hyperlink" Target="javascript://" TargetMode="External"/><Relationship Id="rId44" Type="http://schemas.openxmlformats.org/officeDocument/2006/relationships/hyperlink" Target="javascript://" TargetMode="External"/><Relationship Id="rId52" Type="http://schemas.openxmlformats.org/officeDocument/2006/relationships/hyperlink" Target="javascript://" TargetMode="External"/><Relationship Id="rId60" Type="http://schemas.openxmlformats.org/officeDocument/2006/relationships/hyperlink" Target="javascript://" TargetMode="External"/><Relationship Id="rId65" Type="http://schemas.openxmlformats.org/officeDocument/2006/relationships/hyperlink" Target="javascript://" TargetMode="External"/><Relationship Id="rId73" Type="http://schemas.openxmlformats.org/officeDocument/2006/relationships/hyperlink" Target="javascript://" TargetMode="External"/><Relationship Id="rId78" Type="http://schemas.openxmlformats.org/officeDocument/2006/relationships/hyperlink" Target="javascript://"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hyperlink" Target="javascript://" TargetMode="External"/><Relationship Id="rId39" Type="http://schemas.openxmlformats.org/officeDocument/2006/relationships/hyperlink" Target="javascript://" TargetMode="External"/><Relationship Id="rId34" Type="http://schemas.openxmlformats.org/officeDocument/2006/relationships/hyperlink" Target="javascript://" TargetMode="External"/><Relationship Id="rId50" Type="http://schemas.openxmlformats.org/officeDocument/2006/relationships/hyperlink" Target="javascript://" TargetMode="External"/><Relationship Id="rId55" Type="http://schemas.openxmlformats.org/officeDocument/2006/relationships/hyperlink" Target="javascript://" TargetMode="External"/><Relationship Id="rId76" Type="http://schemas.openxmlformats.org/officeDocument/2006/relationships/hyperlink" Target="javascript://" TargetMode="External"/><Relationship Id="rId7" Type="http://schemas.openxmlformats.org/officeDocument/2006/relationships/hyperlink" Target="javascript://" TargetMode="External"/><Relationship Id="rId71" Type="http://schemas.openxmlformats.org/officeDocument/2006/relationships/hyperlink" Target="javascript://" TargetMode="External"/><Relationship Id="rId2" Type="http://schemas.openxmlformats.org/officeDocument/2006/relationships/styles" Target="styles.xml"/><Relationship Id="rId29" Type="http://schemas.openxmlformats.org/officeDocument/2006/relationships/hyperlink" Target="javascript://" TargetMode="External"/><Relationship Id="rId24" Type="http://schemas.openxmlformats.org/officeDocument/2006/relationships/hyperlink" Target="javascript://" TargetMode="External"/><Relationship Id="rId40" Type="http://schemas.openxmlformats.org/officeDocument/2006/relationships/hyperlink" Target="javascript://" TargetMode="External"/><Relationship Id="rId45" Type="http://schemas.openxmlformats.org/officeDocument/2006/relationships/hyperlink" Target="javascript://" TargetMode="External"/><Relationship Id="rId66"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57</Pages>
  <Words>17644</Words>
  <Characters>100576</Characters>
  <Application>Microsoft Office Word</Application>
  <DocSecurity>0</DocSecurity>
  <Lines>838</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Dominguez, Alice J</dc:creator>
  <cp:keywords/>
  <dc:description/>
  <cp:lastModifiedBy>Dominguez, Alice J</cp:lastModifiedBy>
  <cp:revision>1</cp:revision>
  <dcterms:created xsi:type="dcterms:W3CDTF">2018-11-18T20:06:00Z</dcterms:created>
  <dcterms:modified xsi:type="dcterms:W3CDTF">2018-11-18T22:06:00Z</dcterms:modified>
</cp:coreProperties>
</file>